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B2" w:rsidRPr="00562AAA" w:rsidRDefault="00C71CB2" w:rsidP="000A58A5">
      <w:pPr>
        <w:jc w:val="both"/>
        <w:rPr>
          <w:b/>
          <w:sz w:val="28"/>
          <w:szCs w:val="28"/>
        </w:rPr>
      </w:pPr>
      <w:bookmarkStart w:id="0" w:name="_Hlk68102180"/>
      <w:bookmarkEnd w:id="0"/>
      <w:proofErr w:type="gramStart"/>
      <w:r w:rsidRPr="00562AAA">
        <w:rPr>
          <w:b/>
          <w:sz w:val="28"/>
          <w:szCs w:val="28"/>
        </w:rPr>
        <w:t>An Analysis of the Rural Index of Deprivation with Respect to Lincolnshire</w:t>
      </w:r>
      <w:r w:rsidR="00BE6CC4" w:rsidRPr="00562AAA">
        <w:rPr>
          <w:b/>
          <w:sz w:val="28"/>
          <w:szCs w:val="28"/>
        </w:rPr>
        <w:t>, Norfolk and Devon.</w:t>
      </w:r>
      <w:proofErr w:type="gramEnd"/>
    </w:p>
    <w:p w:rsidR="00067972" w:rsidRPr="00562AAA" w:rsidRDefault="00067972" w:rsidP="000A58A5">
      <w:pPr>
        <w:jc w:val="both"/>
        <w:rPr>
          <w:b/>
          <w:sz w:val="28"/>
          <w:szCs w:val="28"/>
        </w:rPr>
      </w:pPr>
    </w:p>
    <w:p w:rsidR="002F3280" w:rsidRPr="00562AAA" w:rsidRDefault="00333E61" w:rsidP="000A58A5">
      <w:pPr>
        <w:spacing w:after="0"/>
        <w:jc w:val="both"/>
        <w:rPr>
          <w:b/>
        </w:rPr>
      </w:pPr>
      <w:r w:rsidRPr="00562AAA">
        <w:rPr>
          <w:b/>
        </w:rPr>
        <w:t>John Shepherd</w:t>
      </w:r>
    </w:p>
    <w:p w:rsidR="00333E61" w:rsidRPr="00562AAA" w:rsidRDefault="00333E61" w:rsidP="000A58A5">
      <w:pPr>
        <w:spacing w:after="0"/>
        <w:jc w:val="both"/>
        <w:rPr>
          <w:b/>
        </w:rPr>
      </w:pPr>
      <w:r w:rsidRPr="00562AAA">
        <w:rPr>
          <w:b/>
        </w:rPr>
        <w:t>Emeritus Professor of Geography</w:t>
      </w:r>
    </w:p>
    <w:p w:rsidR="00333E61" w:rsidRPr="00562AAA" w:rsidRDefault="00333E61" w:rsidP="000A58A5">
      <w:pPr>
        <w:spacing w:after="0"/>
        <w:jc w:val="both"/>
        <w:rPr>
          <w:b/>
        </w:rPr>
      </w:pPr>
      <w:r w:rsidRPr="00562AAA">
        <w:rPr>
          <w:b/>
        </w:rPr>
        <w:t>Birkbeck University of London</w:t>
      </w:r>
    </w:p>
    <w:p w:rsidR="00B04697" w:rsidRPr="00562AAA" w:rsidRDefault="00B04697" w:rsidP="000A58A5">
      <w:pPr>
        <w:spacing w:after="0"/>
        <w:jc w:val="both"/>
        <w:rPr>
          <w:b/>
        </w:rPr>
      </w:pPr>
    </w:p>
    <w:p w:rsidR="00B04697" w:rsidRPr="00562AAA" w:rsidRDefault="00B04697" w:rsidP="000A58A5">
      <w:pPr>
        <w:spacing w:after="0"/>
        <w:jc w:val="both"/>
        <w:rPr>
          <w:b/>
        </w:rPr>
      </w:pPr>
    </w:p>
    <w:p w:rsidR="00067972" w:rsidRPr="00562AAA" w:rsidRDefault="00067972" w:rsidP="000A58A5">
      <w:pPr>
        <w:spacing w:after="0"/>
        <w:jc w:val="both"/>
        <w:rPr>
          <w:b/>
        </w:rPr>
      </w:pPr>
      <w:bookmarkStart w:id="1" w:name="_GoBack"/>
      <w:bookmarkEnd w:id="1"/>
    </w:p>
    <w:p w:rsidR="00B04697" w:rsidRPr="00562AAA" w:rsidRDefault="00B04697" w:rsidP="000A58A5">
      <w:pPr>
        <w:spacing w:after="0"/>
        <w:jc w:val="both"/>
        <w:rPr>
          <w:b/>
        </w:rPr>
      </w:pPr>
    </w:p>
    <w:p w:rsidR="00BF777E" w:rsidRPr="00562AAA" w:rsidRDefault="00DE4AFE" w:rsidP="000A58A5">
      <w:pPr>
        <w:jc w:val="both"/>
        <w:rPr>
          <w:b/>
          <w:sz w:val="28"/>
          <w:szCs w:val="28"/>
        </w:rPr>
      </w:pPr>
      <w:r w:rsidRPr="00562AAA">
        <w:rPr>
          <w:b/>
          <w:sz w:val="28"/>
          <w:szCs w:val="28"/>
        </w:rPr>
        <w:t xml:space="preserve">1 </w:t>
      </w:r>
      <w:r w:rsidR="000B75B5" w:rsidRPr="00562AAA">
        <w:rPr>
          <w:b/>
          <w:sz w:val="28"/>
          <w:szCs w:val="28"/>
        </w:rPr>
        <w:t>Introduction</w:t>
      </w:r>
    </w:p>
    <w:p w:rsidR="00D11D5C" w:rsidRPr="00562AAA" w:rsidRDefault="00BE6CC4" w:rsidP="000A58A5">
      <w:pPr>
        <w:jc w:val="both"/>
        <w:rPr>
          <w:sz w:val="24"/>
          <w:szCs w:val="24"/>
        </w:rPr>
      </w:pPr>
      <w:r w:rsidRPr="00562AAA">
        <w:rPr>
          <w:sz w:val="24"/>
          <w:szCs w:val="24"/>
        </w:rPr>
        <w:t xml:space="preserve">Using the County of Lincolnshire </w:t>
      </w:r>
      <w:r w:rsidR="007D34A7" w:rsidRPr="00562AAA">
        <w:rPr>
          <w:sz w:val="24"/>
          <w:szCs w:val="24"/>
        </w:rPr>
        <w:t>as a case study</w:t>
      </w:r>
      <w:r w:rsidR="000A58A5" w:rsidRPr="00562AAA">
        <w:rPr>
          <w:sz w:val="24"/>
          <w:szCs w:val="24"/>
        </w:rPr>
        <w:t>,</w:t>
      </w:r>
      <w:r w:rsidR="007D34A7" w:rsidRPr="00562AAA">
        <w:rPr>
          <w:sz w:val="24"/>
          <w:szCs w:val="24"/>
        </w:rPr>
        <w:t xml:space="preserve"> </w:t>
      </w:r>
      <w:r w:rsidRPr="00562AAA">
        <w:rPr>
          <w:sz w:val="24"/>
          <w:szCs w:val="24"/>
        </w:rPr>
        <w:t>a previous note</w:t>
      </w:r>
      <w:r w:rsidRPr="00562AAA">
        <w:rPr>
          <w:rStyle w:val="FootnoteReference"/>
          <w:sz w:val="24"/>
          <w:szCs w:val="24"/>
        </w:rPr>
        <w:footnoteReference w:id="1"/>
      </w:r>
      <w:r w:rsidRPr="00562AAA">
        <w:rPr>
          <w:sz w:val="24"/>
          <w:szCs w:val="24"/>
        </w:rPr>
        <w:t xml:space="preserve"> described </w:t>
      </w:r>
      <w:r w:rsidR="007D34A7" w:rsidRPr="00562AAA">
        <w:rPr>
          <w:sz w:val="24"/>
          <w:szCs w:val="24"/>
        </w:rPr>
        <w:t>a</w:t>
      </w:r>
      <w:r w:rsidRPr="00562AAA">
        <w:rPr>
          <w:sz w:val="24"/>
          <w:szCs w:val="24"/>
        </w:rPr>
        <w:t xml:space="preserve"> comparison of </w:t>
      </w:r>
      <w:r w:rsidR="00105038" w:rsidRPr="00562AAA">
        <w:rPr>
          <w:sz w:val="24"/>
          <w:szCs w:val="24"/>
        </w:rPr>
        <w:t xml:space="preserve">the Rural Deprivation Index </w:t>
      </w:r>
      <w:r w:rsidR="00D11D5C" w:rsidRPr="00562AAA">
        <w:rPr>
          <w:sz w:val="24"/>
          <w:szCs w:val="24"/>
        </w:rPr>
        <w:t xml:space="preserve">(RDI) </w:t>
      </w:r>
      <w:r w:rsidR="00B71914" w:rsidRPr="00562AAA">
        <w:rPr>
          <w:sz w:val="24"/>
          <w:szCs w:val="24"/>
        </w:rPr>
        <w:t xml:space="preserve">produced </w:t>
      </w:r>
      <w:r w:rsidR="00534C17" w:rsidRPr="00562AAA">
        <w:rPr>
          <w:sz w:val="24"/>
          <w:szCs w:val="24"/>
        </w:rPr>
        <w:t>in</w:t>
      </w:r>
      <w:r w:rsidR="00B71914" w:rsidRPr="00562AAA">
        <w:rPr>
          <w:sz w:val="24"/>
          <w:szCs w:val="24"/>
        </w:rPr>
        <w:t xml:space="preserve"> the Norwich Medical School at the University of East Anglia, </w:t>
      </w:r>
      <w:r w:rsidR="000B75B5" w:rsidRPr="00562AAA">
        <w:rPr>
          <w:sz w:val="24"/>
          <w:szCs w:val="24"/>
        </w:rPr>
        <w:t>with the official Index of Multiple Deprivation (IMD</w:t>
      </w:r>
      <w:r w:rsidR="00B71914" w:rsidRPr="00562AAA">
        <w:rPr>
          <w:sz w:val="24"/>
          <w:szCs w:val="24"/>
        </w:rPr>
        <w:t>)</w:t>
      </w:r>
      <w:r w:rsidR="00105038" w:rsidRPr="00562AAA">
        <w:rPr>
          <w:sz w:val="24"/>
          <w:szCs w:val="24"/>
        </w:rPr>
        <w:t>.</w:t>
      </w:r>
      <w:r w:rsidR="00D11D5C" w:rsidRPr="00562AAA">
        <w:rPr>
          <w:rStyle w:val="FootnoteReference"/>
          <w:sz w:val="24"/>
          <w:szCs w:val="24"/>
        </w:rPr>
        <w:footnoteReference w:id="2"/>
      </w:r>
      <w:r w:rsidR="00522F1F" w:rsidRPr="00562AAA">
        <w:rPr>
          <w:sz w:val="24"/>
          <w:szCs w:val="24"/>
        </w:rPr>
        <w:t xml:space="preserve"> The RDI is the first comprehensive attempt to create </w:t>
      </w:r>
      <w:r w:rsidR="00F42C74" w:rsidRPr="00562AAA">
        <w:rPr>
          <w:sz w:val="24"/>
          <w:szCs w:val="24"/>
        </w:rPr>
        <w:t>an index of deprivation focused specifically on the rural environment.</w:t>
      </w:r>
    </w:p>
    <w:p w:rsidR="007D34A7" w:rsidRPr="00562AAA" w:rsidRDefault="007D34A7" w:rsidP="000A58A5">
      <w:pPr>
        <w:jc w:val="both"/>
        <w:rPr>
          <w:sz w:val="24"/>
          <w:szCs w:val="24"/>
        </w:rPr>
      </w:pPr>
      <w:r w:rsidRPr="00562AAA">
        <w:rPr>
          <w:sz w:val="24"/>
          <w:szCs w:val="24"/>
        </w:rPr>
        <w:t xml:space="preserve">This note extends the </w:t>
      </w:r>
      <w:r w:rsidR="000B75B5" w:rsidRPr="00562AAA">
        <w:rPr>
          <w:sz w:val="24"/>
          <w:szCs w:val="24"/>
        </w:rPr>
        <w:t>Lincolnshire</w:t>
      </w:r>
      <w:r w:rsidRPr="00562AAA">
        <w:rPr>
          <w:sz w:val="24"/>
          <w:szCs w:val="24"/>
        </w:rPr>
        <w:t xml:space="preserve"> exercise by adding the counties of Norfolk and Devon as comparators</w:t>
      </w:r>
      <w:r w:rsidR="000B75B5" w:rsidRPr="00562AAA">
        <w:rPr>
          <w:sz w:val="24"/>
          <w:szCs w:val="24"/>
        </w:rPr>
        <w:t xml:space="preserve"> between the IMD and the RDI</w:t>
      </w:r>
      <w:r w:rsidRPr="00562AAA">
        <w:rPr>
          <w:sz w:val="24"/>
          <w:szCs w:val="24"/>
        </w:rPr>
        <w:t>. The method of comparison is the same i.e. via tables and maps rather than formal statistics</w:t>
      </w:r>
      <w:r w:rsidR="000B75B5" w:rsidRPr="00562AAA">
        <w:rPr>
          <w:sz w:val="24"/>
          <w:szCs w:val="24"/>
        </w:rPr>
        <w:t xml:space="preserve"> or a ‘deep dive’ into the </w:t>
      </w:r>
      <w:r w:rsidR="0027500F" w:rsidRPr="00562AAA">
        <w:rPr>
          <w:sz w:val="24"/>
          <w:szCs w:val="24"/>
        </w:rPr>
        <w:t xml:space="preserve">concepts and </w:t>
      </w:r>
      <w:r w:rsidR="000B75B5" w:rsidRPr="00562AAA">
        <w:rPr>
          <w:sz w:val="24"/>
          <w:szCs w:val="24"/>
        </w:rPr>
        <w:t xml:space="preserve">variables </w:t>
      </w:r>
      <w:r w:rsidR="0027500F" w:rsidRPr="00562AAA">
        <w:rPr>
          <w:sz w:val="24"/>
          <w:szCs w:val="24"/>
        </w:rPr>
        <w:t>underlying the RDI</w:t>
      </w:r>
      <w:r w:rsidRPr="00562AAA">
        <w:rPr>
          <w:sz w:val="24"/>
          <w:szCs w:val="24"/>
        </w:rPr>
        <w:t xml:space="preserve">. The text for Lincolnshire is </w:t>
      </w:r>
      <w:r w:rsidR="0027500F" w:rsidRPr="00562AAA">
        <w:rPr>
          <w:sz w:val="24"/>
          <w:szCs w:val="24"/>
        </w:rPr>
        <w:t xml:space="preserve">essentially </w:t>
      </w:r>
      <w:r w:rsidRPr="00562AAA">
        <w:rPr>
          <w:sz w:val="24"/>
          <w:szCs w:val="24"/>
        </w:rPr>
        <w:t xml:space="preserve">the same </w:t>
      </w:r>
      <w:r w:rsidR="0027500F" w:rsidRPr="00562AAA">
        <w:rPr>
          <w:sz w:val="24"/>
          <w:szCs w:val="24"/>
        </w:rPr>
        <w:t>as in the previous document</w:t>
      </w:r>
      <w:r w:rsidR="003D699A" w:rsidRPr="00562AAA">
        <w:rPr>
          <w:sz w:val="24"/>
          <w:szCs w:val="24"/>
        </w:rPr>
        <w:t xml:space="preserve">. The </w:t>
      </w:r>
      <w:r w:rsidRPr="00562AAA">
        <w:rPr>
          <w:sz w:val="24"/>
          <w:szCs w:val="24"/>
        </w:rPr>
        <w:t xml:space="preserve">presentation of the results for Norfolk and Devon is </w:t>
      </w:r>
      <w:r w:rsidR="003D699A" w:rsidRPr="00562AAA">
        <w:rPr>
          <w:sz w:val="24"/>
          <w:szCs w:val="24"/>
        </w:rPr>
        <w:t>more succinct</w:t>
      </w:r>
      <w:r w:rsidRPr="00562AAA">
        <w:rPr>
          <w:sz w:val="24"/>
          <w:szCs w:val="24"/>
        </w:rPr>
        <w:t xml:space="preserve">. </w:t>
      </w:r>
    </w:p>
    <w:p w:rsidR="007D34A7" w:rsidRPr="00562AAA" w:rsidRDefault="007D34A7" w:rsidP="000A58A5">
      <w:pPr>
        <w:jc w:val="both"/>
        <w:rPr>
          <w:sz w:val="24"/>
          <w:szCs w:val="24"/>
        </w:rPr>
      </w:pPr>
      <w:r w:rsidRPr="00562AAA">
        <w:rPr>
          <w:sz w:val="24"/>
          <w:szCs w:val="24"/>
        </w:rPr>
        <w:t>The addition of Norfolk and Devon to the analysis is at the request of interested individuals</w:t>
      </w:r>
      <w:r w:rsidR="000B75B5" w:rsidRPr="00562AAA">
        <w:rPr>
          <w:sz w:val="24"/>
          <w:szCs w:val="24"/>
        </w:rPr>
        <w:t xml:space="preserve"> who saw the initial paper. </w:t>
      </w:r>
      <w:r w:rsidRPr="00562AAA">
        <w:rPr>
          <w:sz w:val="24"/>
          <w:szCs w:val="24"/>
        </w:rPr>
        <w:t>Together the three counties add to the analysis in a number of ways, especially as:</w:t>
      </w:r>
    </w:p>
    <w:p w:rsidR="00601B6B" w:rsidRPr="00562AAA" w:rsidRDefault="00601B6B" w:rsidP="000A58A5">
      <w:pPr>
        <w:pStyle w:val="ListParagraph"/>
        <w:numPr>
          <w:ilvl w:val="0"/>
          <w:numId w:val="4"/>
        </w:numPr>
        <w:ind w:hanging="720"/>
        <w:jc w:val="both"/>
        <w:rPr>
          <w:sz w:val="24"/>
          <w:szCs w:val="24"/>
        </w:rPr>
      </w:pPr>
      <w:r w:rsidRPr="00562AAA">
        <w:rPr>
          <w:sz w:val="24"/>
          <w:szCs w:val="24"/>
        </w:rPr>
        <w:t>they are in different regions</w:t>
      </w:r>
      <w:r w:rsidR="003D699A" w:rsidRPr="00562AAA">
        <w:rPr>
          <w:sz w:val="24"/>
          <w:szCs w:val="24"/>
        </w:rPr>
        <w:t>/</w:t>
      </w:r>
      <w:r w:rsidRPr="00562AAA">
        <w:rPr>
          <w:sz w:val="24"/>
          <w:szCs w:val="24"/>
        </w:rPr>
        <w:t xml:space="preserve">LEPs, </w:t>
      </w:r>
    </w:p>
    <w:p w:rsidR="00D11D5C" w:rsidRPr="00562AAA" w:rsidRDefault="00D11D5C" w:rsidP="000A58A5">
      <w:pPr>
        <w:pStyle w:val="ListParagraph"/>
        <w:numPr>
          <w:ilvl w:val="0"/>
          <w:numId w:val="4"/>
        </w:numPr>
        <w:ind w:hanging="720"/>
        <w:jc w:val="both"/>
        <w:rPr>
          <w:sz w:val="24"/>
          <w:szCs w:val="24"/>
        </w:rPr>
      </w:pPr>
      <w:r w:rsidRPr="00562AAA">
        <w:rPr>
          <w:sz w:val="24"/>
          <w:szCs w:val="24"/>
        </w:rPr>
        <w:t>they are typified by different settlement structures, especially in relation to the number and dominance of cities and major towns</w:t>
      </w:r>
      <w:r w:rsidR="000B75B5" w:rsidRPr="00562AAA">
        <w:rPr>
          <w:sz w:val="24"/>
          <w:szCs w:val="24"/>
        </w:rPr>
        <w:t xml:space="preserve"> they contain, </w:t>
      </w:r>
      <w:r w:rsidRPr="00562AAA">
        <w:rPr>
          <w:sz w:val="24"/>
          <w:szCs w:val="24"/>
        </w:rPr>
        <w:t>and</w:t>
      </w:r>
    </w:p>
    <w:p w:rsidR="00D11D5C" w:rsidRPr="00562AAA" w:rsidRDefault="00D11D5C" w:rsidP="000A58A5">
      <w:pPr>
        <w:pStyle w:val="ListParagraph"/>
        <w:numPr>
          <w:ilvl w:val="0"/>
          <w:numId w:val="4"/>
        </w:numPr>
        <w:ind w:hanging="720"/>
        <w:jc w:val="both"/>
        <w:rPr>
          <w:sz w:val="24"/>
          <w:szCs w:val="24"/>
        </w:rPr>
      </w:pPr>
      <w:proofErr w:type="gramStart"/>
      <w:r w:rsidRPr="00562AAA">
        <w:rPr>
          <w:sz w:val="24"/>
          <w:szCs w:val="24"/>
        </w:rPr>
        <w:t>they</w:t>
      </w:r>
      <w:proofErr w:type="gramEnd"/>
      <w:r w:rsidRPr="00562AAA">
        <w:rPr>
          <w:sz w:val="24"/>
          <w:szCs w:val="24"/>
        </w:rPr>
        <w:t xml:space="preserve"> have somewhat different rural economies, especially </w:t>
      </w:r>
      <w:r w:rsidR="000B75B5" w:rsidRPr="00562AAA">
        <w:rPr>
          <w:sz w:val="24"/>
          <w:szCs w:val="24"/>
        </w:rPr>
        <w:t>regarding</w:t>
      </w:r>
      <w:r w:rsidRPr="00562AAA">
        <w:rPr>
          <w:sz w:val="24"/>
          <w:szCs w:val="24"/>
        </w:rPr>
        <w:t xml:space="preserve"> the role of primary industries and tourism in overall economic activity.</w:t>
      </w:r>
    </w:p>
    <w:p w:rsidR="007D34A7" w:rsidRPr="00562AAA" w:rsidRDefault="00D11D5C" w:rsidP="000A58A5">
      <w:pPr>
        <w:jc w:val="both"/>
        <w:rPr>
          <w:sz w:val="24"/>
          <w:szCs w:val="24"/>
        </w:rPr>
      </w:pPr>
      <w:r w:rsidRPr="00562AAA">
        <w:rPr>
          <w:sz w:val="24"/>
          <w:szCs w:val="24"/>
        </w:rPr>
        <w:t>These and, no doubt, other factors would have to be taken into account in a deeper, more substantively based comparison of the RDI with the IMD</w:t>
      </w:r>
      <w:r w:rsidR="003D699A" w:rsidRPr="00562AAA">
        <w:rPr>
          <w:sz w:val="24"/>
          <w:szCs w:val="24"/>
        </w:rPr>
        <w:t xml:space="preserve">. </w:t>
      </w:r>
      <w:r w:rsidR="000B75B5" w:rsidRPr="00562AAA">
        <w:rPr>
          <w:sz w:val="24"/>
          <w:szCs w:val="24"/>
        </w:rPr>
        <w:t xml:space="preserve">The present paper </w:t>
      </w:r>
      <w:r w:rsidR="003D699A" w:rsidRPr="00562AAA">
        <w:rPr>
          <w:sz w:val="24"/>
          <w:szCs w:val="24"/>
        </w:rPr>
        <w:t>should</w:t>
      </w:r>
      <w:r w:rsidR="000B75B5" w:rsidRPr="00562AAA">
        <w:rPr>
          <w:sz w:val="24"/>
          <w:szCs w:val="24"/>
        </w:rPr>
        <w:t xml:space="preserve"> therefore be seen as a basis for discussion </w:t>
      </w:r>
      <w:r w:rsidR="003D699A" w:rsidRPr="00562AAA">
        <w:rPr>
          <w:sz w:val="24"/>
          <w:szCs w:val="24"/>
        </w:rPr>
        <w:t>on the need for and nature of an</w:t>
      </w:r>
      <w:r w:rsidR="000B75B5" w:rsidRPr="00562AAA">
        <w:rPr>
          <w:sz w:val="24"/>
          <w:szCs w:val="24"/>
        </w:rPr>
        <w:t xml:space="preserve"> indicato</w:t>
      </w:r>
      <w:r w:rsidR="003D699A" w:rsidRPr="00562AAA">
        <w:rPr>
          <w:sz w:val="24"/>
          <w:szCs w:val="24"/>
        </w:rPr>
        <w:t>r</w:t>
      </w:r>
      <w:r w:rsidR="000B75B5" w:rsidRPr="00562AAA">
        <w:rPr>
          <w:sz w:val="24"/>
          <w:szCs w:val="24"/>
        </w:rPr>
        <w:t xml:space="preserve"> of deprivation in rural areas.</w:t>
      </w:r>
      <w:r w:rsidR="006E76A3" w:rsidRPr="00562AAA">
        <w:rPr>
          <w:sz w:val="24"/>
          <w:szCs w:val="24"/>
        </w:rPr>
        <w:t xml:space="preserve"> </w:t>
      </w:r>
    </w:p>
    <w:p w:rsidR="00105038" w:rsidRPr="00562AAA" w:rsidRDefault="00105038" w:rsidP="000A58A5">
      <w:pPr>
        <w:jc w:val="both"/>
        <w:rPr>
          <w:b/>
          <w:sz w:val="24"/>
          <w:szCs w:val="24"/>
        </w:rPr>
      </w:pPr>
    </w:p>
    <w:p w:rsidR="00A541BD" w:rsidRPr="00562AAA" w:rsidRDefault="00A541BD">
      <w:pPr>
        <w:rPr>
          <w:b/>
          <w:sz w:val="28"/>
          <w:szCs w:val="28"/>
        </w:rPr>
      </w:pPr>
      <w:r w:rsidRPr="00562AAA">
        <w:rPr>
          <w:b/>
          <w:sz w:val="28"/>
          <w:szCs w:val="28"/>
        </w:rPr>
        <w:br w:type="page"/>
      </w:r>
    </w:p>
    <w:p w:rsidR="002F3280" w:rsidRPr="00562AAA" w:rsidRDefault="00DE4AFE" w:rsidP="000A58A5">
      <w:pPr>
        <w:jc w:val="both"/>
        <w:rPr>
          <w:b/>
          <w:sz w:val="28"/>
          <w:szCs w:val="28"/>
        </w:rPr>
      </w:pPr>
      <w:r w:rsidRPr="00562AAA">
        <w:rPr>
          <w:b/>
          <w:sz w:val="28"/>
          <w:szCs w:val="28"/>
        </w:rPr>
        <w:lastRenderedPageBreak/>
        <w:t xml:space="preserve">2 </w:t>
      </w:r>
      <w:r w:rsidR="000B75B5" w:rsidRPr="00562AAA">
        <w:rPr>
          <w:b/>
          <w:sz w:val="28"/>
          <w:szCs w:val="28"/>
        </w:rPr>
        <w:t>The Index of Multiple Deprivation 2019</w:t>
      </w:r>
    </w:p>
    <w:p w:rsidR="00C71CB2" w:rsidRPr="00562AAA" w:rsidRDefault="00C71CB2" w:rsidP="000A58A5">
      <w:pPr>
        <w:jc w:val="both"/>
        <w:rPr>
          <w:sz w:val="24"/>
          <w:szCs w:val="24"/>
        </w:rPr>
      </w:pPr>
      <w:r w:rsidRPr="00562AAA">
        <w:rPr>
          <w:sz w:val="24"/>
          <w:szCs w:val="24"/>
        </w:rPr>
        <w:t xml:space="preserve">The Index of Multiple Deprivation (IMD), the most recent update of which was </w:t>
      </w:r>
      <w:r w:rsidR="00492BD3" w:rsidRPr="00562AAA">
        <w:rPr>
          <w:sz w:val="24"/>
          <w:szCs w:val="24"/>
        </w:rPr>
        <w:t>published</w:t>
      </w:r>
      <w:r w:rsidRPr="00562AAA">
        <w:rPr>
          <w:sz w:val="24"/>
          <w:szCs w:val="24"/>
        </w:rPr>
        <w:t xml:space="preserve"> in September 2019 is a summary of a number of measures expre</w:t>
      </w:r>
      <w:r w:rsidR="000B75B5" w:rsidRPr="00562AAA">
        <w:rPr>
          <w:sz w:val="24"/>
          <w:szCs w:val="24"/>
        </w:rPr>
        <w:t>s</w:t>
      </w:r>
      <w:r w:rsidRPr="00562AAA">
        <w:rPr>
          <w:sz w:val="24"/>
          <w:szCs w:val="24"/>
        </w:rPr>
        <w:t>s</w:t>
      </w:r>
      <w:r w:rsidR="000B75B5" w:rsidRPr="00562AAA">
        <w:rPr>
          <w:sz w:val="24"/>
          <w:szCs w:val="24"/>
        </w:rPr>
        <w:t>ive of</w:t>
      </w:r>
      <w:r w:rsidRPr="00562AAA">
        <w:rPr>
          <w:sz w:val="24"/>
          <w:szCs w:val="24"/>
        </w:rPr>
        <w:t xml:space="preserve"> deprivation in geographic areas. The most detailed geographic level published is that of Lower Super Output Areas.</w:t>
      </w:r>
      <w:r w:rsidR="000C46DA" w:rsidRPr="00562AAA">
        <w:rPr>
          <w:rStyle w:val="FootnoteReference"/>
          <w:sz w:val="24"/>
          <w:szCs w:val="24"/>
        </w:rPr>
        <w:footnoteReference w:id="3"/>
      </w:r>
      <w:r w:rsidRPr="00562AAA">
        <w:rPr>
          <w:sz w:val="24"/>
          <w:szCs w:val="24"/>
        </w:rPr>
        <w:t xml:space="preserve"> The IMD </w:t>
      </w:r>
      <w:r w:rsidR="002E5A84" w:rsidRPr="00562AAA">
        <w:rPr>
          <w:sz w:val="24"/>
          <w:szCs w:val="24"/>
        </w:rPr>
        <w:t xml:space="preserve">presented </w:t>
      </w:r>
      <w:r w:rsidRPr="00562AAA">
        <w:rPr>
          <w:sz w:val="24"/>
          <w:szCs w:val="24"/>
        </w:rPr>
        <w:t xml:space="preserve">at </w:t>
      </w:r>
      <w:r w:rsidR="00DD0842" w:rsidRPr="00562AAA">
        <w:rPr>
          <w:sz w:val="24"/>
          <w:szCs w:val="24"/>
        </w:rPr>
        <w:t xml:space="preserve">this and </w:t>
      </w:r>
      <w:proofErr w:type="gramStart"/>
      <w:r w:rsidR="00DD0842" w:rsidRPr="00562AAA">
        <w:rPr>
          <w:sz w:val="24"/>
          <w:szCs w:val="24"/>
        </w:rPr>
        <w:t>higher</w:t>
      </w:r>
      <w:r w:rsidRPr="00562AAA">
        <w:rPr>
          <w:sz w:val="24"/>
          <w:szCs w:val="24"/>
        </w:rPr>
        <w:t xml:space="preserve"> geographic scales is</w:t>
      </w:r>
      <w:proofErr w:type="gramEnd"/>
      <w:r w:rsidRPr="00562AAA">
        <w:rPr>
          <w:sz w:val="24"/>
          <w:szCs w:val="24"/>
        </w:rPr>
        <w:t xml:space="preserve"> of central importance in </w:t>
      </w:r>
      <w:r w:rsidR="00DD0842" w:rsidRPr="00562AAA">
        <w:rPr>
          <w:sz w:val="24"/>
          <w:szCs w:val="24"/>
        </w:rPr>
        <w:t>supporting</w:t>
      </w:r>
      <w:r w:rsidR="002E5A84" w:rsidRPr="00562AAA">
        <w:rPr>
          <w:sz w:val="24"/>
          <w:szCs w:val="24"/>
        </w:rPr>
        <w:t xml:space="preserve"> </w:t>
      </w:r>
      <w:r w:rsidRPr="00562AAA">
        <w:rPr>
          <w:sz w:val="24"/>
          <w:szCs w:val="24"/>
        </w:rPr>
        <w:t>the allocation of many central and local government funding streams.</w:t>
      </w:r>
      <w:r w:rsidR="002A664A" w:rsidRPr="00562AAA">
        <w:rPr>
          <w:sz w:val="24"/>
          <w:szCs w:val="24"/>
        </w:rPr>
        <w:t xml:space="preserve"> It is also the basis for the analysis of a range of policy outcomes.</w:t>
      </w:r>
    </w:p>
    <w:p w:rsidR="00C71CB2" w:rsidRPr="00562AAA" w:rsidRDefault="00C71CB2" w:rsidP="000A58A5">
      <w:pPr>
        <w:jc w:val="both"/>
        <w:rPr>
          <w:sz w:val="24"/>
          <w:szCs w:val="24"/>
        </w:rPr>
      </w:pPr>
      <w:r w:rsidRPr="00562AAA">
        <w:rPr>
          <w:sz w:val="24"/>
          <w:szCs w:val="24"/>
        </w:rPr>
        <w:t>The IMD has</w:t>
      </w:r>
      <w:r w:rsidR="00DD0842" w:rsidRPr="00562AAA">
        <w:rPr>
          <w:sz w:val="24"/>
          <w:szCs w:val="24"/>
        </w:rPr>
        <w:t xml:space="preserve"> </w:t>
      </w:r>
      <w:r w:rsidRPr="00562AAA">
        <w:rPr>
          <w:sz w:val="24"/>
          <w:szCs w:val="24"/>
        </w:rPr>
        <w:t xml:space="preserve">been criticised by </w:t>
      </w:r>
      <w:r w:rsidR="002F3280" w:rsidRPr="00562AAA">
        <w:rPr>
          <w:sz w:val="24"/>
          <w:szCs w:val="24"/>
        </w:rPr>
        <w:t xml:space="preserve">some </w:t>
      </w:r>
      <w:r w:rsidRPr="00562AAA">
        <w:rPr>
          <w:sz w:val="24"/>
          <w:szCs w:val="24"/>
        </w:rPr>
        <w:t xml:space="preserve">non-governmental </w:t>
      </w:r>
      <w:r w:rsidR="002F3280" w:rsidRPr="00562AAA">
        <w:rPr>
          <w:sz w:val="24"/>
          <w:szCs w:val="24"/>
        </w:rPr>
        <w:t xml:space="preserve">bodies </w:t>
      </w:r>
      <w:r w:rsidRPr="00562AAA">
        <w:rPr>
          <w:sz w:val="24"/>
          <w:szCs w:val="24"/>
        </w:rPr>
        <w:t xml:space="preserve">and </w:t>
      </w:r>
      <w:r w:rsidR="002F3280" w:rsidRPr="00562AAA">
        <w:rPr>
          <w:sz w:val="24"/>
          <w:szCs w:val="24"/>
        </w:rPr>
        <w:t>various</w:t>
      </w:r>
      <w:r w:rsidRPr="00562AAA">
        <w:rPr>
          <w:sz w:val="24"/>
          <w:szCs w:val="24"/>
        </w:rPr>
        <w:t xml:space="preserve"> interest groups as being excessively oriented to urban concerns and, as a result, biased against rural geographies. The main criticisms</w:t>
      </w:r>
      <w:r w:rsidR="002E5A84" w:rsidRPr="00562AAA">
        <w:rPr>
          <w:sz w:val="24"/>
          <w:szCs w:val="24"/>
        </w:rPr>
        <w:t xml:space="preserve"> of the IMD insofar as it relates to rural deprivation</w:t>
      </w:r>
      <w:r w:rsidR="00230971" w:rsidRPr="00562AAA">
        <w:rPr>
          <w:sz w:val="24"/>
          <w:szCs w:val="24"/>
        </w:rPr>
        <w:t>, although interrelated in various ways and</w:t>
      </w:r>
      <w:r w:rsidR="00DD0842" w:rsidRPr="00562AAA">
        <w:rPr>
          <w:sz w:val="24"/>
          <w:szCs w:val="24"/>
        </w:rPr>
        <w:t>,</w:t>
      </w:r>
      <w:r w:rsidR="00230971" w:rsidRPr="00562AAA">
        <w:rPr>
          <w:sz w:val="24"/>
          <w:szCs w:val="24"/>
        </w:rPr>
        <w:t xml:space="preserve"> to some extent</w:t>
      </w:r>
      <w:r w:rsidR="00DD0842" w:rsidRPr="00562AAA">
        <w:rPr>
          <w:sz w:val="24"/>
          <w:szCs w:val="24"/>
        </w:rPr>
        <w:t>,</w:t>
      </w:r>
      <w:r w:rsidR="00230971" w:rsidRPr="00562AAA">
        <w:rPr>
          <w:sz w:val="24"/>
          <w:szCs w:val="24"/>
        </w:rPr>
        <w:t xml:space="preserve"> reinforcing</w:t>
      </w:r>
      <w:r w:rsidR="002E5A84" w:rsidRPr="00562AAA">
        <w:rPr>
          <w:sz w:val="24"/>
          <w:szCs w:val="24"/>
        </w:rPr>
        <w:t xml:space="preserve"> each other</w:t>
      </w:r>
      <w:r w:rsidR="00230971" w:rsidRPr="00562AAA">
        <w:rPr>
          <w:sz w:val="24"/>
          <w:szCs w:val="24"/>
        </w:rPr>
        <w:t>,</w:t>
      </w:r>
      <w:r w:rsidRPr="00562AAA">
        <w:rPr>
          <w:sz w:val="24"/>
          <w:szCs w:val="24"/>
        </w:rPr>
        <w:t xml:space="preserve"> are:</w:t>
      </w:r>
    </w:p>
    <w:p w:rsidR="00C71CB2" w:rsidRPr="00562AAA" w:rsidRDefault="00C71CB2" w:rsidP="000A58A5">
      <w:pPr>
        <w:pStyle w:val="ListParagraph"/>
        <w:numPr>
          <w:ilvl w:val="0"/>
          <w:numId w:val="1"/>
        </w:numPr>
        <w:ind w:hanging="720"/>
        <w:jc w:val="both"/>
        <w:rPr>
          <w:sz w:val="24"/>
          <w:szCs w:val="24"/>
        </w:rPr>
      </w:pPr>
      <w:r w:rsidRPr="00562AAA">
        <w:rPr>
          <w:sz w:val="24"/>
          <w:szCs w:val="24"/>
        </w:rPr>
        <w:t xml:space="preserve">it focuses on </w:t>
      </w:r>
      <w:r w:rsidRPr="00562AAA">
        <w:rPr>
          <w:i/>
          <w:sz w:val="24"/>
          <w:szCs w:val="24"/>
        </w:rPr>
        <w:t>concentrations</w:t>
      </w:r>
      <w:r w:rsidRPr="00562AAA">
        <w:rPr>
          <w:sz w:val="24"/>
          <w:szCs w:val="24"/>
        </w:rPr>
        <w:t xml:space="preserve"> of deprivation in small areas</w:t>
      </w:r>
      <w:r w:rsidR="002E5A84" w:rsidRPr="00562AAA">
        <w:rPr>
          <w:sz w:val="24"/>
          <w:szCs w:val="24"/>
        </w:rPr>
        <w:t xml:space="preserve">, </w:t>
      </w:r>
      <w:r w:rsidR="00DD0842" w:rsidRPr="00562AAA">
        <w:rPr>
          <w:sz w:val="24"/>
          <w:szCs w:val="24"/>
        </w:rPr>
        <w:t xml:space="preserve">whereas </w:t>
      </w:r>
      <w:r w:rsidRPr="00562AAA">
        <w:rPr>
          <w:sz w:val="24"/>
          <w:szCs w:val="24"/>
        </w:rPr>
        <w:t>rural deprivation is more scattered</w:t>
      </w:r>
      <w:r w:rsidR="002E5A84" w:rsidRPr="00562AAA">
        <w:rPr>
          <w:sz w:val="24"/>
          <w:szCs w:val="24"/>
        </w:rPr>
        <w:t xml:space="preserve"> </w:t>
      </w:r>
      <w:r w:rsidR="00DD0842" w:rsidRPr="00562AAA">
        <w:rPr>
          <w:sz w:val="24"/>
          <w:szCs w:val="24"/>
        </w:rPr>
        <w:t>geographically</w:t>
      </w:r>
      <w:r w:rsidR="002E5A84" w:rsidRPr="00562AAA">
        <w:rPr>
          <w:sz w:val="24"/>
          <w:szCs w:val="24"/>
        </w:rPr>
        <w:t>,</w:t>
      </w:r>
      <w:r w:rsidRPr="00562AAA">
        <w:rPr>
          <w:sz w:val="24"/>
          <w:szCs w:val="24"/>
        </w:rPr>
        <w:t xml:space="preserve"> espec</w:t>
      </w:r>
      <w:r w:rsidR="00230971" w:rsidRPr="00562AAA">
        <w:rPr>
          <w:sz w:val="24"/>
          <w:szCs w:val="24"/>
        </w:rPr>
        <w:t xml:space="preserve">ially </w:t>
      </w:r>
      <w:r w:rsidR="0024196B" w:rsidRPr="00562AAA">
        <w:rPr>
          <w:sz w:val="24"/>
          <w:szCs w:val="24"/>
        </w:rPr>
        <w:t>among</w:t>
      </w:r>
      <w:r w:rsidR="00230971" w:rsidRPr="00562AAA">
        <w:rPr>
          <w:sz w:val="24"/>
          <w:szCs w:val="24"/>
        </w:rPr>
        <w:t xml:space="preserve"> small rural towns, villages and dispersed settlements,</w:t>
      </w:r>
    </w:p>
    <w:p w:rsidR="00230971" w:rsidRPr="00562AAA" w:rsidRDefault="00230971" w:rsidP="000A58A5">
      <w:pPr>
        <w:pStyle w:val="ListParagraph"/>
        <w:numPr>
          <w:ilvl w:val="0"/>
          <w:numId w:val="1"/>
        </w:numPr>
        <w:ind w:hanging="720"/>
        <w:jc w:val="both"/>
        <w:rPr>
          <w:sz w:val="24"/>
          <w:szCs w:val="24"/>
        </w:rPr>
      </w:pPr>
      <w:r w:rsidRPr="00562AAA">
        <w:rPr>
          <w:sz w:val="24"/>
          <w:szCs w:val="24"/>
        </w:rPr>
        <w:t xml:space="preserve">many of the measures of which </w:t>
      </w:r>
      <w:r w:rsidR="002E5A84" w:rsidRPr="00562AAA">
        <w:rPr>
          <w:sz w:val="24"/>
          <w:szCs w:val="24"/>
        </w:rPr>
        <w:t>the IMD</w:t>
      </w:r>
      <w:r w:rsidRPr="00562AAA">
        <w:rPr>
          <w:sz w:val="24"/>
          <w:szCs w:val="24"/>
        </w:rPr>
        <w:t xml:space="preserve"> is comprised are urban oriented inasmuch </w:t>
      </w:r>
      <w:r w:rsidR="00DD0842" w:rsidRPr="00562AAA">
        <w:rPr>
          <w:sz w:val="24"/>
          <w:szCs w:val="24"/>
        </w:rPr>
        <w:t>as</w:t>
      </w:r>
      <w:r w:rsidRPr="00562AAA">
        <w:rPr>
          <w:sz w:val="24"/>
          <w:szCs w:val="24"/>
        </w:rPr>
        <w:t xml:space="preserve"> they are</w:t>
      </w:r>
      <w:r w:rsidRPr="00562AAA">
        <w:rPr>
          <w:i/>
          <w:sz w:val="24"/>
          <w:szCs w:val="24"/>
        </w:rPr>
        <w:t xml:space="preserve"> easily counted</w:t>
      </w:r>
      <w:r w:rsidRPr="00562AAA">
        <w:rPr>
          <w:sz w:val="24"/>
          <w:szCs w:val="24"/>
        </w:rPr>
        <w:t xml:space="preserve"> data whereas some rural concerns (e.g. forms of agricultural crime or some aspects of health</w:t>
      </w:r>
      <w:r w:rsidR="000C46DA" w:rsidRPr="00562AAA">
        <w:rPr>
          <w:sz w:val="24"/>
          <w:szCs w:val="24"/>
        </w:rPr>
        <w:t xml:space="preserve"> and welfare</w:t>
      </w:r>
      <w:r w:rsidRPr="00562AAA">
        <w:rPr>
          <w:sz w:val="24"/>
          <w:szCs w:val="24"/>
        </w:rPr>
        <w:t xml:space="preserve">), are </w:t>
      </w:r>
      <w:r w:rsidR="002E5A84" w:rsidRPr="00562AAA">
        <w:rPr>
          <w:sz w:val="24"/>
          <w:szCs w:val="24"/>
        </w:rPr>
        <w:t xml:space="preserve">not reported at all or are </w:t>
      </w:r>
      <w:r w:rsidRPr="00562AAA">
        <w:rPr>
          <w:sz w:val="24"/>
          <w:szCs w:val="24"/>
        </w:rPr>
        <w:t>under reported, and</w:t>
      </w:r>
    </w:p>
    <w:p w:rsidR="00230971" w:rsidRPr="00562AAA" w:rsidRDefault="00230971" w:rsidP="000A58A5">
      <w:pPr>
        <w:pStyle w:val="ListParagraph"/>
        <w:numPr>
          <w:ilvl w:val="0"/>
          <w:numId w:val="1"/>
        </w:numPr>
        <w:ind w:hanging="720"/>
        <w:jc w:val="both"/>
        <w:rPr>
          <w:sz w:val="24"/>
          <w:szCs w:val="24"/>
        </w:rPr>
      </w:pPr>
      <w:proofErr w:type="gramStart"/>
      <w:r w:rsidRPr="00562AAA">
        <w:rPr>
          <w:sz w:val="24"/>
          <w:szCs w:val="24"/>
        </w:rPr>
        <w:t>although</w:t>
      </w:r>
      <w:proofErr w:type="gramEnd"/>
      <w:r w:rsidRPr="00562AAA">
        <w:rPr>
          <w:sz w:val="24"/>
          <w:szCs w:val="24"/>
        </w:rPr>
        <w:t xml:space="preserve"> </w:t>
      </w:r>
      <w:r w:rsidR="000C46DA" w:rsidRPr="00562AAA">
        <w:rPr>
          <w:sz w:val="24"/>
          <w:szCs w:val="24"/>
        </w:rPr>
        <w:t xml:space="preserve">access to services and housing measures are included in the IMD they are </w:t>
      </w:r>
      <w:r w:rsidR="002E5A84" w:rsidRPr="00562AAA">
        <w:rPr>
          <w:sz w:val="24"/>
          <w:szCs w:val="24"/>
        </w:rPr>
        <w:t xml:space="preserve">not appropriately measured and/or are </w:t>
      </w:r>
      <w:r w:rsidR="000C46DA" w:rsidRPr="00562AAA">
        <w:rPr>
          <w:sz w:val="24"/>
          <w:szCs w:val="24"/>
        </w:rPr>
        <w:t>given less weight in comprising the measure than the traditionally urban measures</w:t>
      </w:r>
      <w:r w:rsidRPr="00562AAA">
        <w:rPr>
          <w:sz w:val="24"/>
          <w:szCs w:val="24"/>
        </w:rPr>
        <w:t xml:space="preserve"> </w:t>
      </w:r>
      <w:r w:rsidR="000C46DA" w:rsidRPr="00562AAA">
        <w:rPr>
          <w:sz w:val="24"/>
          <w:szCs w:val="24"/>
        </w:rPr>
        <w:t>that are included.</w:t>
      </w:r>
    </w:p>
    <w:p w:rsidR="00230971" w:rsidRPr="00562AAA" w:rsidRDefault="000C46DA" w:rsidP="000A58A5">
      <w:pPr>
        <w:spacing w:after="0"/>
        <w:jc w:val="both"/>
        <w:rPr>
          <w:sz w:val="24"/>
          <w:szCs w:val="24"/>
        </w:rPr>
      </w:pPr>
      <w:r w:rsidRPr="00562AAA">
        <w:rPr>
          <w:sz w:val="24"/>
          <w:szCs w:val="24"/>
        </w:rPr>
        <w:t xml:space="preserve">In response to </w:t>
      </w:r>
      <w:r w:rsidR="0024196B" w:rsidRPr="00562AAA">
        <w:rPr>
          <w:sz w:val="24"/>
          <w:szCs w:val="24"/>
        </w:rPr>
        <w:t xml:space="preserve">such </w:t>
      </w:r>
      <w:r w:rsidRPr="00562AAA">
        <w:rPr>
          <w:sz w:val="24"/>
          <w:szCs w:val="24"/>
        </w:rPr>
        <w:t xml:space="preserve">criticisms the </w:t>
      </w:r>
      <w:r w:rsidR="007E744A" w:rsidRPr="00562AAA">
        <w:rPr>
          <w:sz w:val="24"/>
          <w:szCs w:val="24"/>
        </w:rPr>
        <w:t xml:space="preserve">Norwich </w:t>
      </w:r>
      <w:r w:rsidR="002F3280" w:rsidRPr="00562AAA">
        <w:rPr>
          <w:sz w:val="24"/>
          <w:szCs w:val="24"/>
        </w:rPr>
        <w:t>M</w:t>
      </w:r>
      <w:r w:rsidR="007E744A" w:rsidRPr="00562AAA">
        <w:rPr>
          <w:sz w:val="24"/>
          <w:szCs w:val="24"/>
        </w:rPr>
        <w:t xml:space="preserve">edical School </w:t>
      </w:r>
      <w:r w:rsidR="00715E7F" w:rsidRPr="00562AAA">
        <w:rPr>
          <w:sz w:val="24"/>
          <w:szCs w:val="24"/>
        </w:rPr>
        <w:t xml:space="preserve">(NMS) </w:t>
      </w:r>
      <w:r w:rsidR="007E744A" w:rsidRPr="00562AAA">
        <w:rPr>
          <w:sz w:val="24"/>
          <w:szCs w:val="24"/>
        </w:rPr>
        <w:t xml:space="preserve">at the University of East Anglia has produced a Rural Deprivation Index (RDI). </w:t>
      </w:r>
      <w:r w:rsidR="00DD0842" w:rsidRPr="00562AAA">
        <w:rPr>
          <w:sz w:val="24"/>
          <w:szCs w:val="24"/>
        </w:rPr>
        <w:t>A</w:t>
      </w:r>
      <w:r w:rsidR="007E744A" w:rsidRPr="00562AAA">
        <w:rPr>
          <w:sz w:val="24"/>
          <w:szCs w:val="24"/>
        </w:rPr>
        <w:t>nalysis of the IMD</w:t>
      </w:r>
      <w:r w:rsidR="002F3280" w:rsidRPr="00562AAA">
        <w:rPr>
          <w:sz w:val="24"/>
          <w:szCs w:val="24"/>
        </w:rPr>
        <w:t xml:space="preserve"> </w:t>
      </w:r>
      <w:r w:rsidR="002E5A84" w:rsidRPr="00562AAA">
        <w:rPr>
          <w:sz w:val="24"/>
          <w:szCs w:val="24"/>
        </w:rPr>
        <w:t>2019</w:t>
      </w:r>
      <w:r w:rsidR="007E744A" w:rsidRPr="00562AAA">
        <w:rPr>
          <w:sz w:val="24"/>
          <w:szCs w:val="24"/>
        </w:rPr>
        <w:t xml:space="preserve"> domains against the Rural_Urban </w:t>
      </w:r>
      <w:r w:rsidR="002F3280" w:rsidRPr="00562AAA">
        <w:rPr>
          <w:sz w:val="24"/>
          <w:szCs w:val="24"/>
        </w:rPr>
        <w:t>C</w:t>
      </w:r>
      <w:r w:rsidR="007E744A" w:rsidRPr="00562AAA">
        <w:rPr>
          <w:sz w:val="24"/>
          <w:szCs w:val="24"/>
        </w:rPr>
        <w:t>lassification</w:t>
      </w:r>
      <w:r w:rsidR="002F3280" w:rsidRPr="00562AAA">
        <w:rPr>
          <w:sz w:val="24"/>
          <w:szCs w:val="24"/>
        </w:rPr>
        <w:t xml:space="preserve"> (RUC)</w:t>
      </w:r>
      <w:r w:rsidR="007E744A" w:rsidRPr="00562AAA">
        <w:rPr>
          <w:sz w:val="24"/>
          <w:szCs w:val="24"/>
        </w:rPr>
        <w:t xml:space="preserve"> for </w:t>
      </w:r>
      <w:r w:rsidR="002F3280" w:rsidRPr="00562AAA">
        <w:rPr>
          <w:sz w:val="24"/>
          <w:szCs w:val="24"/>
        </w:rPr>
        <w:t>England</w:t>
      </w:r>
      <w:r w:rsidR="005E2676" w:rsidRPr="00562AAA">
        <w:rPr>
          <w:sz w:val="24"/>
          <w:szCs w:val="24"/>
        </w:rPr>
        <w:t>,</w:t>
      </w:r>
      <w:r w:rsidR="007E744A" w:rsidRPr="00562AAA">
        <w:rPr>
          <w:sz w:val="24"/>
          <w:szCs w:val="24"/>
        </w:rPr>
        <w:t xml:space="preserve"> </w:t>
      </w:r>
      <w:r w:rsidR="002E5A84" w:rsidRPr="00562AAA">
        <w:rPr>
          <w:sz w:val="24"/>
          <w:szCs w:val="24"/>
        </w:rPr>
        <w:t>using Norfolk as a case study</w:t>
      </w:r>
      <w:r w:rsidR="005E2676" w:rsidRPr="00562AAA">
        <w:rPr>
          <w:sz w:val="24"/>
          <w:szCs w:val="24"/>
        </w:rPr>
        <w:t>,</w:t>
      </w:r>
      <w:r w:rsidR="002E5A84" w:rsidRPr="00562AAA">
        <w:rPr>
          <w:sz w:val="24"/>
          <w:szCs w:val="24"/>
        </w:rPr>
        <w:t xml:space="preserve"> </w:t>
      </w:r>
      <w:r w:rsidR="00DD0842" w:rsidRPr="00562AAA">
        <w:rPr>
          <w:sz w:val="24"/>
          <w:szCs w:val="24"/>
        </w:rPr>
        <w:t xml:space="preserve">increases the number of ‘deprived’ LSOAs and suggests, </w:t>
      </w:r>
      <w:r w:rsidR="002E5A84" w:rsidRPr="00562AAA">
        <w:rPr>
          <w:sz w:val="24"/>
          <w:szCs w:val="24"/>
        </w:rPr>
        <w:t>for example,</w:t>
      </w:r>
      <w:r w:rsidR="007E744A" w:rsidRPr="00562AAA">
        <w:rPr>
          <w:sz w:val="24"/>
          <w:szCs w:val="24"/>
        </w:rPr>
        <w:t xml:space="preserve"> that </w:t>
      </w:r>
      <w:r w:rsidR="002E5A84" w:rsidRPr="00562AAA">
        <w:rPr>
          <w:sz w:val="24"/>
          <w:szCs w:val="24"/>
        </w:rPr>
        <w:t xml:space="preserve">LSOAs in </w:t>
      </w:r>
      <w:r w:rsidR="002F3280" w:rsidRPr="00562AAA">
        <w:rPr>
          <w:sz w:val="24"/>
          <w:szCs w:val="24"/>
        </w:rPr>
        <w:t xml:space="preserve">the RUC class ‘rural villages and dispersed’ </w:t>
      </w:r>
      <w:r w:rsidR="002E5A84" w:rsidRPr="00562AAA">
        <w:rPr>
          <w:sz w:val="24"/>
          <w:szCs w:val="24"/>
        </w:rPr>
        <w:t>are</w:t>
      </w:r>
      <w:r w:rsidR="002F3280" w:rsidRPr="00562AAA">
        <w:rPr>
          <w:sz w:val="24"/>
          <w:szCs w:val="24"/>
        </w:rPr>
        <w:t xml:space="preserve"> considerably more disadvantaged on the ‘Geographic Barriers’ sub domain than other RU</w:t>
      </w:r>
      <w:r w:rsidR="002E5A84" w:rsidRPr="00562AAA">
        <w:rPr>
          <w:sz w:val="24"/>
          <w:szCs w:val="24"/>
        </w:rPr>
        <w:t>C</w:t>
      </w:r>
      <w:r w:rsidR="002F3280" w:rsidRPr="00562AAA">
        <w:rPr>
          <w:sz w:val="24"/>
          <w:szCs w:val="24"/>
        </w:rPr>
        <w:t xml:space="preserve"> classes. </w:t>
      </w:r>
      <w:r w:rsidR="00DD0842" w:rsidRPr="00562AAA">
        <w:rPr>
          <w:sz w:val="24"/>
          <w:szCs w:val="24"/>
        </w:rPr>
        <w:t xml:space="preserve">Rural </w:t>
      </w:r>
      <w:r w:rsidR="00832916" w:rsidRPr="00562AAA">
        <w:rPr>
          <w:sz w:val="24"/>
          <w:szCs w:val="24"/>
        </w:rPr>
        <w:t>V</w:t>
      </w:r>
      <w:r w:rsidR="00DD0842" w:rsidRPr="00562AAA">
        <w:rPr>
          <w:sz w:val="24"/>
          <w:szCs w:val="24"/>
        </w:rPr>
        <w:t xml:space="preserve">illage and </w:t>
      </w:r>
      <w:r w:rsidR="00832916" w:rsidRPr="00562AAA">
        <w:rPr>
          <w:sz w:val="24"/>
          <w:szCs w:val="24"/>
        </w:rPr>
        <w:t>D</w:t>
      </w:r>
      <w:r w:rsidR="00DD0842" w:rsidRPr="00562AAA">
        <w:rPr>
          <w:sz w:val="24"/>
          <w:szCs w:val="24"/>
        </w:rPr>
        <w:t>ispersed LSOAs were</w:t>
      </w:r>
      <w:r w:rsidR="00346EDF" w:rsidRPr="00562AAA">
        <w:rPr>
          <w:sz w:val="24"/>
          <w:szCs w:val="24"/>
        </w:rPr>
        <w:t xml:space="preserve"> </w:t>
      </w:r>
      <w:r w:rsidR="002F3280" w:rsidRPr="00562AAA">
        <w:rPr>
          <w:sz w:val="24"/>
          <w:szCs w:val="24"/>
        </w:rPr>
        <w:t xml:space="preserve">also </w:t>
      </w:r>
      <w:r w:rsidR="00DD0842" w:rsidRPr="00562AAA">
        <w:rPr>
          <w:sz w:val="24"/>
          <w:szCs w:val="24"/>
        </w:rPr>
        <w:t xml:space="preserve">found to be </w:t>
      </w:r>
      <w:r w:rsidR="00346EDF" w:rsidRPr="00562AAA">
        <w:rPr>
          <w:sz w:val="24"/>
          <w:szCs w:val="24"/>
        </w:rPr>
        <w:t xml:space="preserve">more disadvantaged on </w:t>
      </w:r>
      <w:r w:rsidR="002F3280" w:rsidRPr="00562AAA">
        <w:rPr>
          <w:sz w:val="24"/>
          <w:szCs w:val="24"/>
        </w:rPr>
        <w:t xml:space="preserve">the ‘Education, Children and Young </w:t>
      </w:r>
      <w:r w:rsidR="00832916" w:rsidRPr="00562AAA">
        <w:rPr>
          <w:sz w:val="24"/>
          <w:szCs w:val="24"/>
        </w:rPr>
        <w:t>P</w:t>
      </w:r>
      <w:r w:rsidR="002F3280" w:rsidRPr="00562AAA">
        <w:rPr>
          <w:sz w:val="24"/>
          <w:szCs w:val="24"/>
        </w:rPr>
        <w:t>ersons’ sub-domain.</w:t>
      </w:r>
    </w:p>
    <w:p w:rsidR="00715E7F" w:rsidRPr="00562AAA" w:rsidRDefault="00715E7F" w:rsidP="000A58A5">
      <w:pPr>
        <w:spacing w:after="0"/>
        <w:jc w:val="both"/>
        <w:rPr>
          <w:sz w:val="24"/>
          <w:szCs w:val="24"/>
        </w:rPr>
      </w:pPr>
    </w:p>
    <w:p w:rsidR="00346EDF" w:rsidRPr="00562AAA" w:rsidRDefault="00346EDF" w:rsidP="000A58A5">
      <w:pPr>
        <w:spacing w:after="0"/>
        <w:jc w:val="both"/>
        <w:rPr>
          <w:b/>
          <w:sz w:val="24"/>
          <w:szCs w:val="24"/>
        </w:rPr>
      </w:pPr>
    </w:p>
    <w:p w:rsidR="00715E7F" w:rsidRPr="00562AAA" w:rsidRDefault="00DE4AFE" w:rsidP="000A58A5">
      <w:pPr>
        <w:spacing w:after="0"/>
        <w:jc w:val="both"/>
        <w:rPr>
          <w:b/>
          <w:sz w:val="28"/>
          <w:szCs w:val="28"/>
        </w:rPr>
      </w:pPr>
      <w:r w:rsidRPr="00562AAA">
        <w:rPr>
          <w:b/>
          <w:sz w:val="28"/>
          <w:szCs w:val="28"/>
        </w:rPr>
        <w:t xml:space="preserve">3 </w:t>
      </w:r>
      <w:r w:rsidR="00715E7F" w:rsidRPr="00562AAA">
        <w:rPr>
          <w:b/>
          <w:sz w:val="28"/>
          <w:szCs w:val="28"/>
        </w:rPr>
        <w:t>The</w:t>
      </w:r>
      <w:r w:rsidR="00346EDF" w:rsidRPr="00562AAA">
        <w:rPr>
          <w:b/>
          <w:sz w:val="28"/>
          <w:szCs w:val="28"/>
        </w:rPr>
        <w:t xml:space="preserve"> Components of the</w:t>
      </w:r>
      <w:r w:rsidR="00715E7F" w:rsidRPr="00562AAA">
        <w:rPr>
          <w:b/>
          <w:sz w:val="28"/>
          <w:szCs w:val="28"/>
        </w:rPr>
        <w:t xml:space="preserve"> NMS Rural Deprivation Index</w:t>
      </w:r>
    </w:p>
    <w:p w:rsidR="00467E1E" w:rsidRPr="00562AAA" w:rsidRDefault="00467E1E" w:rsidP="000A58A5">
      <w:pPr>
        <w:spacing w:after="0"/>
        <w:jc w:val="both"/>
        <w:rPr>
          <w:b/>
          <w:sz w:val="24"/>
          <w:szCs w:val="24"/>
        </w:rPr>
      </w:pPr>
    </w:p>
    <w:p w:rsidR="00D5762E" w:rsidRDefault="00BF777E" w:rsidP="000A58A5">
      <w:pPr>
        <w:jc w:val="both"/>
        <w:rPr>
          <w:sz w:val="24"/>
          <w:szCs w:val="24"/>
        </w:rPr>
      </w:pPr>
      <w:r w:rsidRPr="00562AAA">
        <w:rPr>
          <w:sz w:val="24"/>
          <w:szCs w:val="24"/>
        </w:rPr>
        <w:t xml:space="preserve">The NMS RDI is based upon a similar methodology to that of the IMD but with different, </w:t>
      </w:r>
      <w:r w:rsidR="00933F2A" w:rsidRPr="00562AAA">
        <w:rPr>
          <w:sz w:val="24"/>
          <w:szCs w:val="24"/>
        </w:rPr>
        <w:t xml:space="preserve">nominally </w:t>
      </w:r>
      <w:r w:rsidRPr="00562AAA">
        <w:rPr>
          <w:sz w:val="24"/>
          <w:szCs w:val="24"/>
        </w:rPr>
        <w:t xml:space="preserve">more ‘rural oriented’ variables as shown in the </w:t>
      </w:r>
      <w:r w:rsidR="006A1339" w:rsidRPr="00562AAA">
        <w:rPr>
          <w:sz w:val="24"/>
          <w:szCs w:val="24"/>
        </w:rPr>
        <w:t>T</w:t>
      </w:r>
      <w:r w:rsidRPr="00562AAA">
        <w:rPr>
          <w:sz w:val="24"/>
          <w:szCs w:val="24"/>
        </w:rPr>
        <w:t>able</w:t>
      </w:r>
      <w:r w:rsidR="006A1339" w:rsidRPr="00562AAA">
        <w:rPr>
          <w:sz w:val="24"/>
          <w:szCs w:val="24"/>
        </w:rPr>
        <w:t xml:space="preserve"> 1. </w:t>
      </w:r>
      <w:r w:rsidR="00346EDF" w:rsidRPr="00562AAA">
        <w:rPr>
          <w:sz w:val="24"/>
          <w:szCs w:val="24"/>
        </w:rPr>
        <w:t>F</w:t>
      </w:r>
      <w:r w:rsidR="00454EF0" w:rsidRPr="00562AAA">
        <w:rPr>
          <w:sz w:val="24"/>
          <w:szCs w:val="24"/>
        </w:rPr>
        <w:t>ive of the eight variables selected for inclusion in the RDI are taken from</w:t>
      </w:r>
      <w:r w:rsidR="004D4547" w:rsidRPr="00562AAA">
        <w:rPr>
          <w:sz w:val="24"/>
          <w:szCs w:val="24"/>
        </w:rPr>
        <w:t xml:space="preserve"> the</w:t>
      </w:r>
      <w:r w:rsidR="00454EF0" w:rsidRPr="00562AAA">
        <w:rPr>
          <w:sz w:val="24"/>
          <w:szCs w:val="24"/>
        </w:rPr>
        <w:t xml:space="preserve"> IMD which ensures </w:t>
      </w:r>
      <w:r w:rsidR="00346EDF" w:rsidRPr="00562AAA">
        <w:rPr>
          <w:sz w:val="24"/>
          <w:szCs w:val="24"/>
        </w:rPr>
        <w:t>some</w:t>
      </w:r>
      <w:r w:rsidR="00454EF0" w:rsidRPr="00562AAA">
        <w:rPr>
          <w:sz w:val="24"/>
          <w:szCs w:val="24"/>
        </w:rPr>
        <w:t xml:space="preserve"> continuity of concept and measurement with the latter.</w:t>
      </w:r>
      <w:r w:rsidR="004D4547" w:rsidRPr="00562AAA">
        <w:rPr>
          <w:sz w:val="24"/>
          <w:szCs w:val="24"/>
        </w:rPr>
        <w:t xml:space="preserve"> </w:t>
      </w:r>
    </w:p>
    <w:p w:rsidR="00D5762E" w:rsidRDefault="00D5762E">
      <w:pPr>
        <w:rPr>
          <w:sz w:val="24"/>
          <w:szCs w:val="24"/>
        </w:rPr>
      </w:pPr>
      <w:r>
        <w:rPr>
          <w:sz w:val="24"/>
          <w:szCs w:val="24"/>
        </w:rPr>
        <w:br w:type="page"/>
      </w:r>
    </w:p>
    <w:p w:rsidR="00BF777E" w:rsidRPr="00562AAA" w:rsidRDefault="006A1339" w:rsidP="000A58A5">
      <w:pPr>
        <w:jc w:val="both"/>
        <w:rPr>
          <w:sz w:val="24"/>
          <w:szCs w:val="24"/>
        </w:rPr>
      </w:pPr>
      <w:r w:rsidRPr="00562AAA">
        <w:rPr>
          <w:sz w:val="24"/>
          <w:szCs w:val="24"/>
        </w:rPr>
        <w:lastRenderedPageBreak/>
        <w:t xml:space="preserve">In the case of </w:t>
      </w:r>
      <w:r w:rsidR="00346EDF" w:rsidRPr="00562AAA">
        <w:rPr>
          <w:sz w:val="24"/>
          <w:szCs w:val="24"/>
        </w:rPr>
        <w:t>its</w:t>
      </w:r>
      <w:r w:rsidRPr="00562AAA">
        <w:rPr>
          <w:sz w:val="24"/>
          <w:szCs w:val="24"/>
        </w:rPr>
        <w:t xml:space="preserve"> ‘Locality related deprivation dimension’ the RDI uses the DfT ‘Journey Times to Key Services’ data</w:t>
      </w:r>
      <w:r w:rsidR="00467E1E" w:rsidRPr="00562AAA">
        <w:rPr>
          <w:sz w:val="24"/>
          <w:szCs w:val="24"/>
        </w:rPr>
        <w:t xml:space="preserve"> rather than the IMD ‘Geographical Barriers’ data which are based upon </w:t>
      </w:r>
      <w:r w:rsidR="00E57864" w:rsidRPr="00562AAA">
        <w:rPr>
          <w:sz w:val="24"/>
          <w:szCs w:val="24"/>
        </w:rPr>
        <w:t xml:space="preserve">road </w:t>
      </w:r>
      <w:r w:rsidR="00467E1E" w:rsidRPr="00562AAA">
        <w:rPr>
          <w:sz w:val="24"/>
          <w:szCs w:val="24"/>
        </w:rPr>
        <w:t>distance</w:t>
      </w:r>
      <w:r w:rsidR="00E57864" w:rsidRPr="00562AAA">
        <w:rPr>
          <w:sz w:val="24"/>
          <w:szCs w:val="24"/>
        </w:rPr>
        <w:t>s</w:t>
      </w:r>
      <w:r w:rsidR="00467E1E" w:rsidRPr="00562AAA">
        <w:rPr>
          <w:sz w:val="24"/>
          <w:szCs w:val="24"/>
        </w:rPr>
        <w:t xml:space="preserve"> rather than time travelled. </w:t>
      </w:r>
      <w:r w:rsidR="00E57864" w:rsidRPr="00562AAA">
        <w:rPr>
          <w:sz w:val="24"/>
          <w:szCs w:val="24"/>
        </w:rPr>
        <w:t>The</w:t>
      </w:r>
      <w:r w:rsidR="00467E1E" w:rsidRPr="00562AAA">
        <w:rPr>
          <w:sz w:val="24"/>
          <w:szCs w:val="24"/>
        </w:rPr>
        <w:t xml:space="preserve"> DfT data</w:t>
      </w:r>
      <w:r w:rsidR="00E57864" w:rsidRPr="00562AAA">
        <w:rPr>
          <w:sz w:val="24"/>
          <w:szCs w:val="24"/>
        </w:rPr>
        <w:t>, on the other hand,</w:t>
      </w:r>
      <w:r w:rsidR="00467E1E" w:rsidRPr="00562AAA">
        <w:rPr>
          <w:sz w:val="24"/>
          <w:szCs w:val="24"/>
        </w:rPr>
        <w:t xml:space="preserve"> are modelled rather than surveyed data</w:t>
      </w:r>
      <w:r w:rsidR="00746CC1" w:rsidRPr="00562AAA">
        <w:rPr>
          <w:sz w:val="24"/>
          <w:szCs w:val="24"/>
        </w:rPr>
        <w:t>. I</w:t>
      </w:r>
      <w:r w:rsidR="00467E1E" w:rsidRPr="00562AAA">
        <w:rPr>
          <w:sz w:val="24"/>
          <w:szCs w:val="24"/>
        </w:rPr>
        <w:t xml:space="preserve">t is not clear </w:t>
      </w:r>
      <w:r w:rsidR="00746CC1" w:rsidRPr="00562AAA">
        <w:rPr>
          <w:sz w:val="24"/>
          <w:szCs w:val="24"/>
        </w:rPr>
        <w:t>how these data are handled in the RDI i.e</w:t>
      </w:r>
      <w:r w:rsidR="00E91D36" w:rsidRPr="00562AAA">
        <w:rPr>
          <w:sz w:val="24"/>
          <w:szCs w:val="24"/>
        </w:rPr>
        <w:t>.</w:t>
      </w:r>
      <w:r w:rsidR="00746CC1" w:rsidRPr="00562AAA">
        <w:rPr>
          <w:sz w:val="24"/>
          <w:szCs w:val="24"/>
        </w:rPr>
        <w:t xml:space="preserve"> </w:t>
      </w:r>
      <w:r w:rsidR="00467E1E" w:rsidRPr="00562AAA">
        <w:rPr>
          <w:sz w:val="24"/>
          <w:szCs w:val="24"/>
        </w:rPr>
        <w:t xml:space="preserve">how </w:t>
      </w:r>
      <w:r w:rsidR="00746CC1" w:rsidRPr="00562AAA">
        <w:rPr>
          <w:sz w:val="24"/>
          <w:szCs w:val="24"/>
        </w:rPr>
        <w:t>the measures for th</w:t>
      </w:r>
      <w:r w:rsidR="00467E1E" w:rsidRPr="00562AAA">
        <w:rPr>
          <w:sz w:val="24"/>
          <w:szCs w:val="24"/>
        </w:rPr>
        <w:t>e ‘eight essential services’ are aggregated or how the</w:t>
      </w:r>
      <w:r w:rsidR="00E57864" w:rsidRPr="00562AAA">
        <w:rPr>
          <w:sz w:val="24"/>
          <w:szCs w:val="24"/>
        </w:rPr>
        <w:t xml:space="preserve"> typically</w:t>
      </w:r>
      <w:r w:rsidR="00467E1E" w:rsidRPr="00562AAA">
        <w:rPr>
          <w:sz w:val="24"/>
          <w:szCs w:val="24"/>
        </w:rPr>
        <w:t xml:space="preserve"> ‘low digit’ measures are </w:t>
      </w:r>
      <w:r w:rsidR="00746CC1" w:rsidRPr="00562AAA">
        <w:rPr>
          <w:sz w:val="24"/>
          <w:szCs w:val="24"/>
        </w:rPr>
        <w:t>aggregated</w:t>
      </w:r>
      <w:r w:rsidR="00467E1E" w:rsidRPr="00562AAA">
        <w:rPr>
          <w:sz w:val="24"/>
          <w:szCs w:val="24"/>
        </w:rPr>
        <w:t xml:space="preserve">. </w:t>
      </w:r>
      <w:r w:rsidR="00746CC1" w:rsidRPr="00562AAA">
        <w:rPr>
          <w:sz w:val="24"/>
          <w:szCs w:val="24"/>
        </w:rPr>
        <w:t>S</w:t>
      </w:r>
      <w:r w:rsidR="00467E1E" w:rsidRPr="00562AAA">
        <w:rPr>
          <w:sz w:val="24"/>
          <w:szCs w:val="24"/>
        </w:rPr>
        <w:t xml:space="preserve"> ‘Spatial </w:t>
      </w:r>
      <w:r w:rsidR="00746CC1" w:rsidRPr="00562AAA">
        <w:rPr>
          <w:sz w:val="24"/>
          <w:szCs w:val="24"/>
        </w:rPr>
        <w:t>S</w:t>
      </w:r>
      <w:r w:rsidR="00467E1E" w:rsidRPr="00562AAA">
        <w:rPr>
          <w:sz w:val="24"/>
          <w:szCs w:val="24"/>
        </w:rPr>
        <w:t xml:space="preserve">cale’ dimension – essentially, a measure of the variability in </w:t>
      </w:r>
      <w:r w:rsidR="00933F2A" w:rsidRPr="00562AAA">
        <w:rPr>
          <w:sz w:val="24"/>
          <w:szCs w:val="24"/>
        </w:rPr>
        <w:t xml:space="preserve">bad/very bad health by household in Census Output Areas within LSOAs – </w:t>
      </w:r>
      <w:r w:rsidR="00746CC1" w:rsidRPr="00562AAA">
        <w:rPr>
          <w:sz w:val="24"/>
          <w:szCs w:val="24"/>
        </w:rPr>
        <w:t>was also proposed and assessed</w:t>
      </w:r>
      <w:r w:rsidR="00E91D36" w:rsidRPr="00562AAA">
        <w:rPr>
          <w:sz w:val="24"/>
          <w:szCs w:val="24"/>
        </w:rPr>
        <w:t>,</w:t>
      </w:r>
      <w:r w:rsidR="00746CC1" w:rsidRPr="00562AAA">
        <w:rPr>
          <w:sz w:val="24"/>
          <w:szCs w:val="24"/>
        </w:rPr>
        <w:t xml:space="preserve"> but </w:t>
      </w:r>
      <w:r w:rsidR="00933F2A" w:rsidRPr="00562AAA">
        <w:rPr>
          <w:sz w:val="24"/>
          <w:szCs w:val="24"/>
        </w:rPr>
        <w:t xml:space="preserve">was </w:t>
      </w:r>
      <w:r w:rsidR="00746CC1" w:rsidRPr="00562AAA">
        <w:rPr>
          <w:sz w:val="24"/>
          <w:szCs w:val="24"/>
        </w:rPr>
        <w:t>excluded from the RDI</w:t>
      </w:r>
      <w:r w:rsidR="00933F2A" w:rsidRPr="00562AAA">
        <w:rPr>
          <w:sz w:val="24"/>
          <w:szCs w:val="24"/>
        </w:rPr>
        <w:t xml:space="preserve"> following assessment of its performance in the data aggregation process.</w:t>
      </w:r>
      <w:r w:rsidR="00933F2A" w:rsidRPr="00562AAA">
        <w:rPr>
          <w:rStyle w:val="FootnoteReference"/>
          <w:sz w:val="24"/>
          <w:szCs w:val="24"/>
        </w:rPr>
        <w:footnoteReference w:id="4"/>
      </w:r>
    </w:p>
    <w:p w:rsidR="00F91B84" w:rsidRPr="00562AAA" w:rsidRDefault="00F91B84" w:rsidP="000A58A5">
      <w:pPr>
        <w:jc w:val="both"/>
        <w:rPr>
          <w:b/>
        </w:rPr>
      </w:pPr>
    </w:p>
    <w:p w:rsidR="00BF777E" w:rsidRPr="00562AAA" w:rsidRDefault="00BF777E" w:rsidP="000A58A5">
      <w:pPr>
        <w:jc w:val="both"/>
        <w:rPr>
          <w:b/>
        </w:rPr>
      </w:pPr>
      <w:r w:rsidRPr="00562AAA">
        <w:rPr>
          <w:b/>
        </w:rPr>
        <w:t>Table 1 Indicators used in the NMS RDI</w:t>
      </w:r>
    </w:p>
    <w:p w:rsidR="00715E7F" w:rsidRPr="00562AAA" w:rsidRDefault="00BF777E" w:rsidP="000A58A5">
      <w:pPr>
        <w:jc w:val="both"/>
      </w:pPr>
      <w:r w:rsidRPr="00562AAA">
        <w:rPr>
          <w:noProof/>
          <w:lang w:eastAsia="en-GB"/>
        </w:rPr>
        <w:drawing>
          <wp:inline distT="0" distB="0" distL="0" distR="0">
            <wp:extent cx="4161729"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187491" cy="2501414"/>
                    </a:xfrm>
                    <a:prstGeom prst="rect">
                      <a:avLst/>
                    </a:prstGeom>
                  </pic:spPr>
                </pic:pic>
              </a:graphicData>
            </a:graphic>
          </wp:inline>
        </w:drawing>
      </w:r>
    </w:p>
    <w:p w:rsidR="00933F2A" w:rsidRPr="00562AAA" w:rsidRDefault="00933F2A" w:rsidP="000A58A5">
      <w:pPr>
        <w:jc w:val="both"/>
        <w:rPr>
          <w:sz w:val="20"/>
          <w:szCs w:val="20"/>
        </w:rPr>
      </w:pPr>
      <w:r w:rsidRPr="00562AAA">
        <w:rPr>
          <w:b/>
          <w:sz w:val="20"/>
          <w:szCs w:val="20"/>
        </w:rPr>
        <w:t>Source</w:t>
      </w:r>
      <w:r w:rsidRPr="00562AAA">
        <w:rPr>
          <w:sz w:val="20"/>
          <w:szCs w:val="20"/>
        </w:rPr>
        <w:t xml:space="preserve">: Burke </w:t>
      </w:r>
      <w:proofErr w:type="gramStart"/>
      <w:r w:rsidRPr="00562AAA">
        <w:rPr>
          <w:sz w:val="20"/>
          <w:szCs w:val="20"/>
        </w:rPr>
        <w:t>A</w:t>
      </w:r>
      <w:proofErr w:type="gramEnd"/>
      <w:r w:rsidRPr="00562AAA">
        <w:rPr>
          <w:sz w:val="20"/>
          <w:szCs w:val="20"/>
        </w:rPr>
        <w:t xml:space="preserve"> and A Jones, The development of an index of rural deprivation: A case study of Norfolk, England</w:t>
      </w:r>
      <w:r w:rsidR="00C30851" w:rsidRPr="00562AAA">
        <w:rPr>
          <w:sz w:val="20"/>
          <w:szCs w:val="20"/>
        </w:rPr>
        <w:t>, Social Science and Medicine 227 (2019) 93-103</w:t>
      </w:r>
      <w:r w:rsidR="00774DD4" w:rsidRPr="00562AAA">
        <w:rPr>
          <w:sz w:val="20"/>
          <w:szCs w:val="20"/>
        </w:rPr>
        <w:t>, p 97</w:t>
      </w:r>
    </w:p>
    <w:p w:rsidR="00DA25C3" w:rsidRPr="00562AAA" w:rsidRDefault="00DA25C3" w:rsidP="000A58A5">
      <w:pPr>
        <w:jc w:val="both"/>
        <w:rPr>
          <w:sz w:val="24"/>
          <w:szCs w:val="24"/>
        </w:rPr>
      </w:pPr>
      <w:r w:rsidRPr="00562AAA">
        <w:rPr>
          <w:sz w:val="24"/>
          <w:szCs w:val="24"/>
        </w:rPr>
        <w:t xml:space="preserve">The methodology for combining the measures within the RDI was essentially the same as that for the IMD </w:t>
      </w:r>
      <w:r w:rsidR="00E7220F" w:rsidRPr="00562AAA">
        <w:rPr>
          <w:sz w:val="24"/>
          <w:szCs w:val="24"/>
        </w:rPr>
        <w:t>- using</w:t>
      </w:r>
      <w:r w:rsidRPr="00562AAA">
        <w:rPr>
          <w:sz w:val="24"/>
          <w:szCs w:val="24"/>
        </w:rPr>
        <w:t xml:space="preserve"> principal components analysis</w:t>
      </w:r>
      <w:r w:rsidR="00E7220F" w:rsidRPr="00562AAA">
        <w:rPr>
          <w:sz w:val="24"/>
          <w:szCs w:val="24"/>
        </w:rPr>
        <w:t xml:space="preserve"> with </w:t>
      </w:r>
      <w:r w:rsidRPr="00562AAA">
        <w:rPr>
          <w:sz w:val="24"/>
          <w:szCs w:val="24"/>
        </w:rPr>
        <w:t>ranking</w:t>
      </w:r>
      <w:r w:rsidR="00E7220F" w:rsidRPr="00562AAA">
        <w:rPr>
          <w:sz w:val="24"/>
          <w:szCs w:val="24"/>
        </w:rPr>
        <w:t xml:space="preserve">, </w:t>
      </w:r>
      <w:r w:rsidRPr="00562AAA">
        <w:rPr>
          <w:sz w:val="24"/>
          <w:szCs w:val="24"/>
        </w:rPr>
        <w:t xml:space="preserve">weighting </w:t>
      </w:r>
      <w:r w:rsidR="00E7220F" w:rsidRPr="00562AAA">
        <w:rPr>
          <w:sz w:val="24"/>
          <w:szCs w:val="24"/>
        </w:rPr>
        <w:t xml:space="preserve">and summation </w:t>
      </w:r>
      <w:r w:rsidRPr="00562AAA">
        <w:rPr>
          <w:sz w:val="24"/>
          <w:szCs w:val="24"/>
        </w:rPr>
        <w:t>of scores to produce a composite index.</w:t>
      </w:r>
      <w:r w:rsidR="007A2A37" w:rsidRPr="00562AAA">
        <w:rPr>
          <w:sz w:val="24"/>
          <w:szCs w:val="24"/>
        </w:rPr>
        <w:t xml:space="preserve"> Various score weightings were applied and intensively tested against their distribution across RUC categories and compared with the distribution when the IMD was used. </w:t>
      </w:r>
      <w:r w:rsidR="00333E61" w:rsidRPr="00562AAA">
        <w:rPr>
          <w:sz w:val="24"/>
          <w:szCs w:val="24"/>
        </w:rPr>
        <w:t>The validity of the outcomes was measured against variables deemed ‘relevant to rural deprivation’ not included in the IMD and mostly associated with rural health issues.</w:t>
      </w:r>
      <w:r w:rsidR="00333E61" w:rsidRPr="00562AAA">
        <w:rPr>
          <w:rStyle w:val="FootnoteReference"/>
          <w:sz w:val="24"/>
          <w:szCs w:val="24"/>
        </w:rPr>
        <w:footnoteReference w:id="5"/>
      </w:r>
    </w:p>
    <w:p w:rsidR="00BA6758" w:rsidRPr="00562AAA" w:rsidRDefault="00BA6758" w:rsidP="000A58A5">
      <w:pPr>
        <w:jc w:val="both"/>
        <w:rPr>
          <w:b/>
          <w:sz w:val="24"/>
          <w:szCs w:val="24"/>
        </w:rPr>
      </w:pPr>
    </w:p>
    <w:p w:rsidR="004F51BF" w:rsidRPr="00562AAA" w:rsidRDefault="004F51BF">
      <w:pPr>
        <w:rPr>
          <w:b/>
          <w:sz w:val="28"/>
          <w:szCs w:val="28"/>
        </w:rPr>
      </w:pPr>
      <w:r w:rsidRPr="00562AAA">
        <w:rPr>
          <w:b/>
          <w:sz w:val="28"/>
          <w:szCs w:val="28"/>
        </w:rPr>
        <w:br w:type="page"/>
      </w:r>
    </w:p>
    <w:p w:rsidR="00E94C76" w:rsidRPr="00562AAA" w:rsidRDefault="00DE4AFE" w:rsidP="000A58A5">
      <w:pPr>
        <w:jc w:val="both"/>
        <w:rPr>
          <w:b/>
          <w:sz w:val="28"/>
          <w:szCs w:val="28"/>
        </w:rPr>
      </w:pPr>
      <w:r w:rsidRPr="00562AAA">
        <w:rPr>
          <w:b/>
          <w:sz w:val="28"/>
          <w:szCs w:val="28"/>
        </w:rPr>
        <w:lastRenderedPageBreak/>
        <w:t xml:space="preserve">4 </w:t>
      </w:r>
      <w:r w:rsidR="00A81D7B" w:rsidRPr="00562AAA">
        <w:rPr>
          <w:b/>
          <w:sz w:val="28"/>
          <w:szCs w:val="28"/>
        </w:rPr>
        <w:t>The NMS</w:t>
      </w:r>
      <w:r w:rsidR="00E94C76" w:rsidRPr="00562AAA">
        <w:rPr>
          <w:b/>
          <w:sz w:val="28"/>
          <w:szCs w:val="28"/>
        </w:rPr>
        <w:t xml:space="preserve"> Norfolk Case Study</w:t>
      </w:r>
    </w:p>
    <w:p w:rsidR="00BA6758" w:rsidRPr="00562AAA" w:rsidRDefault="00342F13" w:rsidP="000A58A5">
      <w:pPr>
        <w:jc w:val="both"/>
        <w:rPr>
          <w:sz w:val="24"/>
          <w:szCs w:val="24"/>
        </w:rPr>
      </w:pPr>
      <w:r w:rsidRPr="00562AAA">
        <w:rPr>
          <w:sz w:val="24"/>
          <w:szCs w:val="24"/>
        </w:rPr>
        <w:t>A scatterplot (scaled to a zero origin) of RDI scores against IMD 2015 scores for the County of Norfolk reveals, as expected</w:t>
      </w:r>
      <w:r w:rsidR="00BA6758" w:rsidRPr="00562AAA">
        <w:rPr>
          <w:sz w:val="24"/>
          <w:szCs w:val="24"/>
        </w:rPr>
        <w:t xml:space="preserve"> given </w:t>
      </w:r>
      <w:r w:rsidR="00B71914" w:rsidRPr="00562AAA">
        <w:rPr>
          <w:sz w:val="24"/>
          <w:szCs w:val="24"/>
        </w:rPr>
        <w:t>that is</w:t>
      </w:r>
      <w:r w:rsidR="00BA6758" w:rsidRPr="00562AAA">
        <w:rPr>
          <w:sz w:val="24"/>
          <w:szCs w:val="24"/>
        </w:rPr>
        <w:t xml:space="preserve"> main component variables</w:t>
      </w:r>
      <w:r w:rsidR="00B71914" w:rsidRPr="00562AAA">
        <w:rPr>
          <w:sz w:val="24"/>
          <w:szCs w:val="24"/>
        </w:rPr>
        <w:t xml:space="preserve"> derive from the IMD</w:t>
      </w:r>
      <w:r w:rsidRPr="00562AAA">
        <w:rPr>
          <w:sz w:val="24"/>
          <w:szCs w:val="24"/>
        </w:rPr>
        <w:t>, a close correlation between the two measures (Graph</w:t>
      </w:r>
      <w:r w:rsidR="00167002" w:rsidRPr="00562AAA">
        <w:rPr>
          <w:sz w:val="24"/>
          <w:szCs w:val="24"/>
        </w:rPr>
        <w:t>ic</w:t>
      </w:r>
      <w:r w:rsidRPr="00562AAA">
        <w:rPr>
          <w:sz w:val="24"/>
          <w:szCs w:val="24"/>
        </w:rPr>
        <w:t xml:space="preserve"> 1). </w:t>
      </w:r>
    </w:p>
    <w:p w:rsidR="00B71914" w:rsidRPr="00562AAA" w:rsidRDefault="002D7694" w:rsidP="000A58A5">
      <w:pPr>
        <w:jc w:val="both"/>
        <w:rPr>
          <w:sz w:val="24"/>
          <w:szCs w:val="24"/>
        </w:rPr>
      </w:pPr>
      <w:r w:rsidRPr="00562AAA">
        <w:rPr>
          <w:sz w:val="24"/>
          <w:szCs w:val="24"/>
        </w:rPr>
        <w:t xml:space="preserve">From a visual assessment </w:t>
      </w:r>
      <w:r w:rsidR="00B71914" w:rsidRPr="00562AAA">
        <w:rPr>
          <w:sz w:val="24"/>
          <w:szCs w:val="24"/>
        </w:rPr>
        <w:t>of the scatter</w:t>
      </w:r>
      <w:r w:rsidR="00F91B84" w:rsidRPr="00562AAA">
        <w:rPr>
          <w:sz w:val="24"/>
          <w:szCs w:val="24"/>
        </w:rPr>
        <w:t xml:space="preserve"> dia</w:t>
      </w:r>
      <w:r w:rsidR="00B71914" w:rsidRPr="00562AAA">
        <w:rPr>
          <w:sz w:val="24"/>
          <w:szCs w:val="24"/>
        </w:rPr>
        <w:t>gram</w:t>
      </w:r>
      <w:r w:rsidR="00774DD4" w:rsidRPr="00562AAA">
        <w:rPr>
          <w:sz w:val="24"/>
          <w:szCs w:val="24"/>
        </w:rPr>
        <w:t xml:space="preserve"> the RDI appears to be identifying two contrasting elements in the rural settlement pattern</w:t>
      </w:r>
      <w:r w:rsidR="00BA6758" w:rsidRPr="00562AAA">
        <w:rPr>
          <w:sz w:val="24"/>
          <w:szCs w:val="24"/>
        </w:rPr>
        <w:t xml:space="preserve"> </w:t>
      </w:r>
      <w:r w:rsidRPr="00562AAA">
        <w:rPr>
          <w:sz w:val="24"/>
          <w:szCs w:val="24"/>
        </w:rPr>
        <w:t>of Norfolk</w:t>
      </w:r>
      <w:r w:rsidR="00B71914" w:rsidRPr="00562AAA">
        <w:rPr>
          <w:sz w:val="24"/>
          <w:szCs w:val="24"/>
        </w:rPr>
        <w:t>:</w:t>
      </w:r>
    </w:p>
    <w:p w:rsidR="00B71914" w:rsidRPr="00562AAA" w:rsidRDefault="00B71914" w:rsidP="000A58A5">
      <w:pPr>
        <w:jc w:val="both"/>
        <w:rPr>
          <w:i/>
          <w:sz w:val="24"/>
          <w:szCs w:val="24"/>
        </w:rPr>
      </w:pPr>
      <w:r w:rsidRPr="00562AAA">
        <w:rPr>
          <w:i/>
          <w:sz w:val="24"/>
          <w:szCs w:val="24"/>
        </w:rPr>
        <w:t>“The RDI was plotted against the English IMD 2015 ... using LSOA ranks, where rank 1 is the most deprived; deprived LSOAs are therefore shown near the origin. The most deprived urban LSOAs using the IMD are generally less deprived using the RDI as they sit above the line of equality. LSOA in the ‘Rural town and fringe’ classifications are mostly more deprived when using the RDI. For the ‘Rural village and dispersed’ classification, deprivation is increased for those LSOA that are most deprived using the IMD (a number of ‘Rural village and dispersed’ LSOAs sitting below the line of equality near the origin”.</w:t>
      </w:r>
      <w:r w:rsidR="0042099D" w:rsidRPr="00562AAA">
        <w:rPr>
          <w:i/>
          <w:sz w:val="24"/>
          <w:szCs w:val="24"/>
        </w:rPr>
        <w:t xml:space="preserve"> </w:t>
      </w:r>
      <w:r w:rsidR="0042099D" w:rsidRPr="00562AAA">
        <w:rPr>
          <w:sz w:val="24"/>
          <w:szCs w:val="24"/>
        </w:rPr>
        <w:t xml:space="preserve">Burke and Jones, </w:t>
      </w:r>
      <w:r w:rsidR="002D3F44" w:rsidRPr="00562AAA">
        <w:rPr>
          <w:sz w:val="24"/>
          <w:szCs w:val="24"/>
        </w:rPr>
        <w:t xml:space="preserve">2019, </w:t>
      </w:r>
      <w:r w:rsidR="00155436" w:rsidRPr="00562AAA">
        <w:rPr>
          <w:sz w:val="24"/>
          <w:szCs w:val="24"/>
        </w:rPr>
        <w:t>page 99.</w:t>
      </w:r>
    </w:p>
    <w:p w:rsidR="00342F13" w:rsidRPr="00562AAA" w:rsidRDefault="002D7694" w:rsidP="000A58A5">
      <w:pPr>
        <w:jc w:val="both"/>
        <w:rPr>
          <w:sz w:val="24"/>
          <w:szCs w:val="24"/>
        </w:rPr>
      </w:pPr>
      <w:r w:rsidRPr="00562AAA">
        <w:rPr>
          <w:sz w:val="24"/>
          <w:szCs w:val="24"/>
        </w:rPr>
        <w:t xml:space="preserve">On the one hand </w:t>
      </w:r>
      <w:r w:rsidR="00B71914" w:rsidRPr="00562AAA">
        <w:rPr>
          <w:sz w:val="24"/>
          <w:szCs w:val="24"/>
        </w:rPr>
        <w:t xml:space="preserve">there </w:t>
      </w:r>
      <w:r w:rsidRPr="00562AAA">
        <w:rPr>
          <w:sz w:val="24"/>
          <w:szCs w:val="24"/>
        </w:rPr>
        <w:t xml:space="preserve">are the </w:t>
      </w:r>
      <w:r w:rsidR="00BA6758" w:rsidRPr="00562AAA">
        <w:rPr>
          <w:sz w:val="24"/>
          <w:szCs w:val="24"/>
        </w:rPr>
        <w:t>larger and, generally, locally more concentrated settlemen</w:t>
      </w:r>
      <w:r w:rsidRPr="00562AAA">
        <w:rPr>
          <w:sz w:val="24"/>
          <w:szCs w:val="24"/>
        </w:rPr>
        <w:t xml:space="preserve">ts. These </w:t>
      </w:r>
      <w:proofErr w:type="gramStart"/>
      <w:r w:rsidRPr="00562AAA">
        <w:rPr>
          <w:sz w:val="24"/>
          <w:szCs w:val="24"/>
        </w:rPr>
        <w:t xml:space="preserve">tend </w:t>
      </w:r>
      <w:r w:rsidR="00BA6758" w:rsidRPr="00562AAA">
        <w:rPr>
          <w:sz w:val="24"/>
          <w:szCs w:val="24"/>
        </w:rPr>
        <w:t xml:space="preserve"> to</w:t>
      </w:r>
      <w:proofErr w:type="gramEnd"/>
      <w:r w:rsidR="00BA6758" w:rsidRPr="00562AAA">
        <w:rPr>
          <w:sz w:val="24"/>
          <w:szCs w:val="24"/>
        </w:rPr>
        <w:t xml:space="preserve"> be identified as ‘more deprived</w:t>
      </w:r>
      <w:r w:rsidRPr="00562AAA">
        <w:rPr>
          <w:sz w:val="24"/>
          <w:szCs w:val="24"/>
        </w:rPr>
        <w:t xml:space="preserve">’ relative to </w:t>
      </w:r>
      <w:r w:rsidR="00B71914" w:rsidRPr="00562AAA">
        <w:rPr>
          <w:sz w:val="24"/>
          <w:szCs w:val="24"/>
        </w:rPr>
        <w:t xml:space="preserve">what they are under </w:t>
      </w:r>
      <w:r w:rsidRPr="00562AAA">
        <w:rPr>
          <w:sz w:val="24"/>
          <w:szCs w:val="24"/>
        </w:rPr>
        <w:t xml:space="preserve">the IMD. On the other hand there are </w:t>
      </w:r>
      <w:r w:rsidR="00BA6758" w:rsidRPr="00562AAA">
        <w:rPr>
          <w:sz w:val="24"/>
          <w:szCs w:val="24"/>
        </w:rPr>
        <w:t xml:space="preserve">smaller, locally </w:t>
      </w:r>
      <w:r w:rsidR="00B71914" w:rsidRPr="00562AAA">
        <w:rPr>
          <w:sz w:val="24"/>
          <w:szCs w:val="24"/>
        </w:rPr>
        <w:t xml:space="preserve">more </w:t>
      </w:r>
      <w:r w:rsidR="00BA6758" w:rsidRPr="00562AAA">
        <w:rPr>
          <w:sz w:val="24"/>
          <w:szCs w:val="24"/>
        </w:rPr>
        <w:t xml:space="preserve">scattered/low density settlements which tend to </w:t>
      </w:r>
      <w:r w:rsidRPr="00562AAA">
        <w:rPr>
          <w:sz w:val="24"/>
          <w:szCs w:val="24"/>
        </w:rPr>
        <w:t xml:space="preserve">be identified as ‘less deprived’ </w:t>
      </w:r>
      <w:r w:rsidR="00B71914" w:rsidRPr="00562AAA">
        <w:rPr>
          <w:sz w:val="24"/>
          <w:szCs w:val="24"/>
        </w:rPr>
        <w:t>than according</w:t>
      </w:r>
      <w:r w:rsidRPr="00562AAA">
        <w:rPr>
          <w:sz w:val="24"/>
          <w:szCs w:val="24"/>
        </w:rPr>
        <w:t xml:space="preserve"> to the IMD. Urban settlements </w:t>
      </w:r>
      <w:r w:rsidR="00B71914" w:rsidRPr="00562AAA">
        <w:rPr>
          <w:sz w:val="24"/>
          <w:szCs w:val="24"/>
        </w:rPr>
        <w:t>seem</w:t>
      </w:r>
      <w:r w:rsidRPr="00562AAA">
        <w:rPr>
          <w:sz w:val="24"/>
          <w:szCs w:val="24"/>
        </w:rPr>
        <w:t xml:space="preserve"> to be more evenly scattered around the ‘line of equality’</w:t>
      </w:r>
      <w:r w:rsidR="00B71914" w:rsidRPr="00562AAA">
        <w:rPr>
          <w:sz w:val="24"/>
          <w:szCs w:val="24"/>
        </w:rPr>
        <w:t xml:space="preserve"> and hence, presumably, similarly represented by both indicators of deprivation.</w:t>
      </w:r>
    </w:p>
    <w:p w:rsidR="00774DD4" w:rsidRPr="00562AAA" w:rsidRDefault="00774DD4" w:rsidP="000A58A5">
      <w:pPr>
        <w:jc w:val="both"/>
      </w:pPr>
    </w:p>
    <w:p w:rsidR="00774DD4" w:rsidRPr="00562AAA" w:rsidRDefault="00774DD4" w:rsidP="000A58A5">
      <w:pPr>
        <w:jc w:val="both"/>
        <w:rPr>
          <w:b/>
        </w:rPr>
      </w:pPr>
      <w:r w:rsidRPr="00562AAA">
        <w:rPr>
          <w:b/>
        </w:rPr>
        <w:t>Graph</w:t>
      </w:r>
      <w:r w:rsidR="00167002" w:rsidRPr="00562AAA">
        <w:rPr>
          <w:b/>
        </w:rPr>
        <w:t>ic</w:t>
      </w:r>
      <w:r w:rsidRPr="00562AAA">
        <w:rPr>
          <w:b/>
        </w:rPr>
        <w:t xml:space="preserve"> 1 Scatterplot of IMD Scores and RDI Scores with a Zero Origin</w:t>
      </w:r>
    </w:p>
    <w:p w:rsidR="00BF777E" w:rsidRPr="00562AAA" w:rsidRDefault="00774DD4" w:rsidP="000A58A5">
      <w:pPr>
        <w:jc w:val="both"/>
      </w:pPr>
      <w:r w:rsidRPr="00562AAA">
        <w:rPr>
          <w:noProof/>
          <w:lang w:eastAsia="en-GB"/>
        </w:rPr>
        <w:drawing>
          <wp:inline distT="0" distB="0" distL="0" distR="0">
            <wp:extent cx="4429125" cy="28171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38117" cy="2822871"/>
                    </a:xfrm>
                    <a:prstGeom prst="rect">
                      <a:avLst/>
                    </a:prstGeom>
                  </pic:spPr>
                </pic:pic>
              </a:graphicData>
            </a:graphic>
          </wp:inline>
        </w:drawing>
      </w:r>
    </w:p>
    <w:p w:rsidR="00774DD4" w:rsidRPr="00562AAA" w:rsidRDefault="00774DD4" w:rsidP="000A58A5">
      <w:pPr>
        <w:jc w:val="both"/>
        <w:rPr>
          <w:sz w:val="20"/>
          <w:szCs w:val="20"/>
        </w:rPr>
      </w:pPr>
      <w:r w:rsidRPr="00562AAA">
        <w:rPr>
          <w:b/>
          <w:sz w:val="20"/>
          <w:szCs w:val="20"/>
        </w:rPr>
        <w:t>Source</w:t>
      </w:r>
      <w:r w:rsidRPr="00562AAA">
        <w:rPr>
          <w:sz w:val="20"/>
          <w:szCs w:val="20"/>
        </w:rPr>
        <w:t xml:space="preserve">: Burke </w:t>
      </w:r>
      <w:proofErr w:type="gramStart"/>
      <w:r w:rsidRPr="00562AAA">
        <w:rPr>
          <w:sz w:val="20"/>
          <w:szCs w:val="20"/>
        </w:rPr>
        <w:t>A</w:t>
      </w:r>
      <w:proofErr w:type="gramEnd"/>
      <w:r w:rsidRPr="00562AAA">
        <w:rPr>
          <w:sz w:val="20"/>
          <w:szCs w:val="20"/>
        </w:rPr>
        <w:t xml:space="preserve"> and A Jones, The development of an index of rural deprivation: A case study of Norfolk, England, Social Science and Medicine 227 (2019) 93-103, p 101.</w:t>
      </w:r>
    </w:p>
    <w:p w:rsidR="008D2666" w:rsidRDefault="008D2666">
      <w:pPr>
        <w:rPr>
          <w:sz w:val="20"/>
          <w:szCs w:val="20"/>
        </w:rPr>
      </w:pPr>
      <w:r>
        <w:rPr>
          <w:sz w:val="20"/>
          <w:szCs w:val="20"/>
        </w:rPr>
        <w:br w:type="page"/>
      </w:r>
    </w:p>
    <w:p w:rsidR="007613AF" w:rsidRPr="00562AAA" w:rsidRDefault="00DE4AFE" w:rsidP="000A58A5">
      <w:pPr>
        <w:jc w:val="both"/>
        <w:rPr>
          <w:b/>
          <w:sz w:val="28"/>
          <w:szCs w:val="28"/>
        </w:rPr>
      </w:pPr>
      <w:r w:rsidRPr="00562AAA">
        <w:rPr>
          <w:b/>
          <w:sz w:val="28"/>
          <w:szCs w:val="28"/>
        </w:rPr>
        <w:lastRenderedPageBreak/>
        <w:t xml:space="preserve">5 </w:t>
      </w:r>
      <w:r w:rsidR="007613AF" w:rsidRPr="00562AAA">
        <w:rPr>
          <w:b/>
          <w:sz w:val="28"/>
          <w:szCs w:val="28"/>
        </w:rPr>
        <w:t>Extending the Norfolk Case Study</w:t>
      </w:r>
    </w:p>
    <w:p w:rsidR="00E87B4B" w:rsidRPr="00562AAA" w:rsidRDefault="00A82CD9" w:rsidP="000A58A5">
      <w:pPr>
        <w:jc w:val="both"/>
        <w:rPr>
          <w:sz w:val="24"/>
          <w:szCs w:val="24"/>
        </w:rPr>
      </w:pPr>
      <w:r w:rsidRPr="00562AAA">
        <w:rPr>
          <w:sz w:val="24"/>
          <w:szCs w:val="24"/>
        </w:rPr>
        <w:t>In the remainder of this note we compare the performance of the IMD with the RDI for three counties on a similar (i.e. tabular rather than graphic) basis</w:t>
      </w:r>
      <w:r w:rsidR="002722C3" w:rsidRPr="00562AAA">
        <w:rPr>
          <w:sz w:val="24"/>
          <w:szCs w:val="24"/>
        </w:rPr>
        <w:t>. The counties are</w:t>
      </w:r>
      <w:r w:rsidRPr="00562AAA">
        <w:rPr>
          <w:sz w:val="24"/>
          <w:szCs w:val="24"/>
        </w:rPr>
        <w:t xml:space="preserve"> Norfolk, Lincolnshire and Devon. </w:t>
      </w:r>
    </w:p>
    <w:p w:rsidR="007613AF" w:rsidRPr="00562AAA" w:rsidRDefault="00A82CD9" w:rsidP="000A58A5">
      <w:pPr>
        <w:jc w:val="both"/>
        <w:rPr>
          <w:sz w:val="24"/>
          <w:szCs w:val="24"/>
        </w:rPr>
      </w:pPr>
      <w:r w:rsidRPr="00562AAA">
        <w:rPr>
          <w:sz w:val="24"/>
          <w:szCs w:val="24"/>
        </w:rPr>
        <w:t xml:space="preserve">The focus </w:t>
      </w:r>
      <w:r w:rsidR="002722C3" w:rsidRPr="00562AAA">
        <w:rPr>
          <w:sz w:val="24"/>
          <w:szCs w:val="24"/>
        </w:rPr>
        <w:t>of the comparisons are the</w:t>
      </w:r>
      <w:r w:rsidRPr="00562AAA">
        <w:rPr>
          <w:sz w:val="24"/>
          <w:szCs w:val="24"/>
        </w:rPr>
        <w:t xml:space="preserve"> deciles of highest deprivation as used in </w:t>
      </w:r>
      <w:r w:rsidR="00E87B4B" w:rsidRPr="00562AAA">
        <w:rPr>
          <w:sz w:val="24"/>
          <w:szCs w:val="24"/>
        </w:rPr>
        <w:t xml:space="preserve">many </w:t>
      </w:r>
      <w:r w:rsidRPr="00562AAA">
        <w:rPr>
          <w:sz w:val="24"/>
          <w:szCs w:val="24"/>
        </w:rPr>
        <w:t>policy applications of the IMD</w:t>
      </w:r>
      <w:r w:rsidR="002722C3" w:rsidRPr="00562AAA">
        <w:rPr>
          <w:sz w:val="24"/>
          <w:szCs w:val="24"/>
        </w:rPr>
        <w:t xml:space="preserve"> and on the more extreme changes between the two measures of deprivation in terms of deciles. </w:t>
      </w:r>
      <w:r w:rsidR="00E87B4B" w:rsidRPr="00562AAA">
        <w:rPr>
          <w:sz w:val="24"/>
          <w:szCs w:val="24"/>
        </w:rPr>
        <w:t xml:space="preserve">Maps of change between the two indicators may facilitate discussion based upon local knowledge. </w:t>
      </w:r>
      <w:r w:rsidR="002722C3" w:rsidRPr="00562AAA">
        <w:rPr>
          <w:sz w:val="24"/>
          <w:szCs w:val="24"/>
        </w:rPr>
        <w:t>The data are for the 2019 versions for both the IMD and the RDI so the results are not directly comparable with the NMS Norfolk case study.</w:t>
      </w:r>
    </w:p>
    <w:p w:rsidR="00BB0B5E" w:rsidRPr="00562AAA" w:rsidRDefault="00BB0B5E" w:rsidP="000A58A5">
      <w:pPr>
        <w:jc w:val="both"/>
        <w:rPr>
          <w:sz w:val="24"/>
          <w:szCs w:val="24"/>
        </w:rPr>
      </w:pPr>
      <w:r w:rsidRPr="00562AAA">
        <w:rPr>
          <w:sz w:val="24"/>
          <w:szCs w:val="24"/>
        </w:rPr>
        <w:t xml:space="preserve">The </w:t>
      </w:r>
      <w:proofErr w:type="gramStart"/>
      <w:r w:rsidRPr="00562AAA">
        <w:rPr>
          <w:sz w:val="24"/>
          <w:szCs w:val="24"/>
        </w:rPr>
        <w:t>interpretation of the results for Lincolnshire are</w:t>
      </w:r>
      <w:proofErr w:type="gramEnd"/>
      <w:r w:rsidRPr="00562AAA">
        <w:rPr>
          <w:sz w:val="24"/>
          <w:szCs w:val="24"/>
        </w:rPr>
        <w:t xml:space="preserve"> done in more detail than for those of Norfolk and Devon. The presentations are identical but only salient points for Norfolk and Devon are mentioned as a basis for further discussion.</w:t>
      </w:r>
    </w:p>
    <w:p w:rsidR="00E87B4B" w:rsidRPr="00562AAA" w:rsidRDefault="00E87B4B" w:rsidP="000A58A5">
      <w:pPr>
        <w:spacing w:after="0"/>
        <w:jc w:val="both"/>
        <w:rPr>
          <w:b/>
          <w:sz w:val="24"/>
          <w:szCs w:val="24"/>
        </w:rPr>
      </w:pPr>
    </w:p>
    <w:p w:rsidR="007479D9" w:rsidRPr="00562AAA" w:rsidRDefault="00BB0B5E" w:rsidP="000A58A5">
      <w:pPr>
        <w:spacing w:after="0"/>
        <w:jc w:val="both"/>
        <w:rPr>
          <w:b/>
          <w:sz w:val="24"/>
          <w:szCs w:val="24"/>
        </w:rPr>
      </w:pPr>
      <w:r w:rsidRPr="00562AAA">
        <w:rPr>
          <w:b/>
          <w:sz w:val="24"/>
          <w:szCs w:val="24"/>
        </w:rPr>
        <w:t>Case Study</w:t>
      </w:r>
      <w:r w:rsidR="00F37D02" w:rsidRPr="00562AAA">
        <w:rPr>
          <w:b/>
          <w:sz w:val="24"/>
          <w:szCs w:val="24"/>
        </w:rPr>
        <w:t xml:space="preserve"> 1: </w:t>
      </w:r>
      <w:r w:rsidR="001D58CA" w:rsidRPr="00562AAA">
        <w:rPr>
          <w:b/>
          <w:sz w:val="24"/>
          <w:szCs w:val="24"/>
        </w:rPr>
        <w:t xml:space="preserve"> </w:t>
      </w:r>
      <w:r w:rsidRPr="00562AAA">
        <w:rPr>
          <w:b/>
          <w:sz w:val="24"/>
          <w:szCs w:val="24"/>
        </w:rPr>
        <w:t xml:space="preserve">The County of </w:t>
      </w:r>
      <w:r w:rsidR="001D58CA" w:rsidRPr="00562AAA">
        <w:rPr>
          <w:b/>
          <w:sz w:val="24"/>
          <w:szCs w:val="24"/>
        </w:rPr>
        <w:t xml:space="preserve">Lincolnshire </w:t>
      </w:r>
    </w:p>
    <w:p w:rsidR="00F37D02" w:rsidRPr="00562AAA" w:rsidRDefault="00F37D02" w:rsidP="000A58A5">
      <w:pPr>
        <w:spacing w:after="0"/>
        <w:jc w:val="both"/>
        <w:rPr>
          <w:b/>
          <w:sz w:val="24"/>
          <w:szCs w:val="24"/>
        </w:rPr>
      </w:pPr>
    </w:p>
    <w:p w:rsidR="007479D9" w:rsidRPr="00562AAA" w:rsidRDefault="007479D9" w:rsidP="000A58A5">
      <w:pPr>
        <w:pStyle w:val="ListParagraph"/>
        <w:numPr>
          <w:ilvl w:val="0"/>
          <w:numId w:val="2"/>
        </w:numPr>
        <w:spacing w:after="0"/>
        <w:ind w:left="567" w:hanging="567"/>
        <w:jc w:val="both"/>
        <w:rPr>
          <w:b/>
          <w:sz w:val="24"/>
          <w:szCs w:val="24"/>
        </w:rPr>
      </w:pPr>
      <w:r w:rsidRPr="00562AAA">
        <w:rPr>
          <w:b/>
          <w:sz w:val="24"/>
          <w:szCs w:val="24"/>
        </w:rPr>
        <w:t xml:space="preserve">The Rural Settlement </w:t>
      </w:r>
      <w:r w:rsidR="00A279F8" w:rsidRPr="00562AAA">
        <w:rPr>
          <w:b/>
          <w:sz w:val="24"/>
          <w:szCs w:val="24"/>
        </w:rPr>
        <w:t>Structure</w:t>
      </w:r>
    </w:p>
    <w:p w:rsidR="00832916" w:rsidRPr="00562AAA" w:rsidRDefault="00832916" w:rsidP="000A58A5">
      <w:pPr>
        <w:spacing w:after="0"/>
        <w:jc w:val="both"/>
        <w:rPr>
          <w:b/>
          <w:sz w:val="24"/>
          <w:szCs w:val="24"/>
        </w:rPr>
      </w:pPr>
    </w:p>
    <w:p w:rsidR="00166BCC" w:rsidRPr="00562AAA" w:rsidRDefault="00167002" w:rsidP="000A58A5">
      <w:pPr>
        <w:jc w:val="both"/>
        <w:rPr>
          <w:sz w:val="24"/>
          <w:szCs w:val="24"/>
        </w:rPr>
      </w:pPr>
      <w:r w:rsidRPr="00562AAA">
        <w:rPr>
          <w:sz w:val="24"/>
          <w:szCs w:val="24"/>
        </w:rPr>
        <w:t xml:space="preserve">The distribution of </w:t>
      </w:r>
      <w:r w:rsidR="00633542" w:rsidRPr="00562AAA">
        <w:rPr>
          <w:sz w:val="24"/>
          <w:szCs w:val="24"/>
        </w:rPr>
        <w:t xml:space="preserve">the number </w:t>
      </w:r>
      <w:r w:rsidRPr="00562AAA">
        <w:rPr>
          <w:sz w:val="24"/>
          <w:szCs w:val="24"/>
        </w:rPr>
        <w:t xml:space="preserve">LSOAs </w:t>
      </w:r>
      <w:r w:rsidR="00633542" w:rsidRPr="00562AAA">
        <w:rPr>
          <w:sz w:val="24"/>
          <w:szCs w:val="24"/>
        </w:rPr>
        <w:t>classified by the RUC</w:t>
      </w:r>
      <w:r w:rsidR="00832916" w:rsidRPr="00562AAA">
        <w:rPr>
          <w:sz w:val="24"/>
          <w:szCs w:val="24"/>
        </w:rPr>
        <w:t>,</w:t>
      </w:r>
      <w:r w:rsidR="00633542" w:rsidRPr="00562AAA">
        <w:rPr>
          <w:sz w:val="24"/>
          <w:szCs w:val="24"/>
        </w:rPr>
        <w:t xml:space="preserve"> </w:t>
      </w:r>
      <w:r w:rsidRPr="00562AAA">
        <w:rPr>
          <w:sz w:val="24"/>
          <w:szCs w:val="24"/>
        </w:rPr>
        <w:t xml:space="preserve">comprising Lincolnshire </w:t>
      </w:r>
      <w:r w:rsidR="00633542" w:rsidRPr="00562AAA">
        <w:rPr>
          <w:sz w:val="24"/>
          <w:szCs w:val="24"/>
        </w:rPr>
        <w:t>and the associated 2019 small area Population Estimates</w:t>
      </w:r>
      <w:r w:rsidR="00832916" w:rsidRPr="00562AAA">
        <w:rPr>
          <w:sz w:val="24"/>
          <w:szCs w:val="24"/>
        </w:rPr>
        <w:t>,</w:t>
      </w:r>
      <w:r w:rsidR="00633542" w:rsidRPr="00562AAA">
        <w:rPr>
          <w:sz w:val="24"/>
          <w:szCs w:val="24"/>
        </w:rPr>
        <w:t xml:space="preserve"> are</w:t>
      </w:r>
      <w:r w:rsidRPr="00562AAA">
        <w:rPr>
          <w:sz w:val="24"/>
          <w:szCs w:val="24"/>
        </w:rPr>
        <w:t xml:space="preserve"> shown in Table 2</w:t>
      </w:r>
      <w:r w:rsidR="00633542" w:rsidRPr="00562AAA">
        <w:rPr>
          <w:sz w:val="24"/>
          <w:szCs w:val="24"/>
        </w:rPr>
        <w:t>. These provide a first basis for assessing the impact of the RDI</w:t>
      </w:r>
      <w:r w:rsidR="004737EB" w:rsidRPr="00562AAA">
        <w:rPr>
          <w:sz w:val="24"/>
          <w:szCs w:val="24"/>
        </w:rPr>
        <w:t xml:space="preserve"> compared with the IMD.</w:t>
      </w:r>
    </w:p>
    <w:p w:rsidR="00BA4B1F" w:rsidRPr="00562AAA" w:rsidRDefault="00BA4B1F" w:rsidP="000A58A5">
      <w:pPr>
        <w:jc w:val="both"/>
        <w:rPr>
          <w:b/>
          <w:sz w:val="24"/>
          <w:szCs w:val="24"/>
        </w:rPr>
      </w:pPr>
    </w:p>
    <w:p w:rsidR="00454EF0" w:rsidRPr="00562AAA" w:rsidRDefault="00454EF0" w:rsidP="000A58A5">
      <w:pPr>
        <w:jc w:val="both"/>
        <w:rPr>
          <w:b/>
          <w:sz w:val="24"/>
          <w:szCs w:val="24"/>
        </w:rPr>
      </w:pPr>
      <w:r w:rsidRPr="00562AAA">
        <w:rPr>
          <w:b/>
          <w:sz w:val="24"/>
          <w:szCs w:val="24"/>
        </w:rPr>
        <w:t xml:space="preserve">Table 2 </w:t>
      </w:r>
      <w:proofErr w:type="gramStart"/>
      <w:r w:rsidRPr="00562AAA">
        <w:rPr>
          <w:b/>
          <w:sz w:val="24"/>
          <w:szCs w:val="24"/>
        </w:rPr>
        <w:t>The</w:t>
      </w:r>
      <w:proofErr w:type="gramEnd"/>
      <w:r w:rsidRPr="00562AAA">
        <w:rPr>
          <w:b/>
          <w:sz w:val="24"/>
          <w:szCs w:val="24"/>
        </w:rPr>
        <w:t xml:space="preserve"> Distribution </w:t>
      </w:r>
      <w:r w:rsidR="00E64C4D" w:rsidRPr="00562AAA">
        <w:rPr>
          <w:b/>
          <w:sz w:val="24"/>
          <w:szCs w:val="24"/>
        </w:rPr>
        <w:t xml:space="preserve">of Numbers and </w:t>
      </w:r>
      <w:r w:rsidRPr="00562AAA">
        <w:rPr>
          <w:b/>
          <w:sz w:val="24"/>
          <w:szCs w:val="24"/>
        </w:rPr>
        <w:t xml:space="preserve">Population of LSOAs </w:t>
      </w:r>
      <w:r w:rsidR="00E87B4B" w:rsidRPr="00562AAA">
        <w:rPr>
          <w:b/>
          <w:sz w:val="24"/>
          <w:szCs w:val="24"/>
        </w:rPr>
        <w:t>by Rural Definition</w:t>
      </w:r>
    </w:p>
    <w:p w:rsidR="00454EF0" w:rsidRPr="00562AAA" w:rsidRDefault="00BA4B1F" w:rsidP="000A58A5">
      <w:pPr>
        <w:jc w:val="both"/>
        <w:rPr>
          <w:sz w:val="24"/>
          <w:szCs w:val="24"/>
        </w:rPr>
      </w:pPr>
      <w:r w:rsidRPr="00562AAA">
        <w:rPr>
          <w:noProof/>
          <w:sz w:val="24"/>
          <w:szCs w:val="24"/>
          <w:lang w:eastAsia="en-GB"/>
        </w:rPr>
        <w:drawing>
          <wp:inline distT="0" distB="0" distL="0" distR="0">
            <wp:extent cx="5068007" cy="19719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68007" cy="1971950"/>
                    </a:xfrm>
                    <a:prstGeom prst="rect">
                      <a:avLst/>
                    </a:prstGeom>
                  </pic:spPr>
                </pic:pic>
              </a:graphicData>
            </a:graphic>
          </wp:inline>
        </w:drawing>
      </w:r>
    </w:p>
    <w:p w:rsidR="00454EF0" w:rsidRPr="00562AAA" w:rsidRDefault="00454EF0" w:rsidP="000A58A5">
      <w:pPr>
        <w:jc w:val="both"/>
        <w:rPr>
          <w:sz w:val="24"/>
          <w:szCs w:val="24"/>
        </w:rPr>
      </w:pPr>
      <w:r w:rsidRPr="00562AAA">
        <w:rPr>
          <w:sz w:val="24"/>
          <w:szCs w:val="24"/>
        </w:rPr>
        <w:t xml:space="preserve">Over half of LSOAs in Lincolnshire are classified as ‘Urban City and Town representing </w:t>
      </w:r>
      <w:r w:rsidR="007479D9" w:rsidRPr="00562AAA">
        <w:rPr>
          <w:sz w:val="24"/>
          <w:szCs w:val="24"/>
        </w:rPr>
        <w:t xml:space="preserve">just </w:t>
      </w:r>
      <w:r w:rsidRPr="00562AAA">
        <w:rPr>
          <w:sz w:val="24"/>
          <w:szCs w:val="24"/>
        </w:rPr>
        <w:t xml:space="preserve">over half of the population. </w:t>
      </w:r>
      <w:r w:rsidR="007479D9" w:rsidRPr="00562AAA">
        <w:rPr>
          <w:sz w:val="24"/>
          <w:szCs w:val="24"/>
        </w:rPr>
        <w:t>The similarity in the number and hence (because of the way LSOAs are constituted) the total population of LSOAs is also of note indicating a (very) rough equivalence between more and less scattered types of rural settlement across the county.</w:t>
      </w:r>
      <w:r w:rsidR="006D1C61" w:rsidRPr="00562AAA">
        <w:rPr>
          <w:rStyle w:val="FootnoteReference"/>
          <w:sz w:val="24"/>
          <w:szCs w:val="24"/>
        </w:rPr>
        <w:footnoteReference w:id="6"/>
      </w:r>
      <w:r w:rsidR="00F339C2" w:rsidRPr="00562AAA">
        <w:rPr>
          <w:sz w:val="24"/>
          <w:szCs w:val="24"/>
        </w:rPr>
        <w:t xml:space="preserve"> </w:t>
      </w:r>
      <w:r w:rsidR="007479D9" w:rsidRPr="00562AAA">
        <w:rPr>
          <w:sz w:val="24"/>
          <w:szCs w:val="24"/>
        </w:rPr>
        <w:lastRenderedPageBreak/>
        <w:t>However, only 21 LSOAs are categorised as being ‘In a Sparse Setting’</w:t>
      </w:r>
      <w:r w:rsidR="00F339C2" w:rsidRPr="00562AAA">
        <w:rPr>
          <w:sz w:val="24"/>
          <w:szCs w:val="24"/>
        </w:rPr>
        <w:t>. For the purposes of this analysis these have been incorporated into their respective ‘non-sparse’ types.</w:t>
      </w:r>
    </w:p>
    <w:p w:rsidR="00F339C2" w:rsidRPr="00562AAA" w:rsidRDefault="00F339C2" w:rsidP="000A58A5">
      <w:pPr>
        <w:jc w:val="both"/>
        <w:rPr>
          <w:b/>
          <w:sz w:val="24"/>
          <w:szCs w:val="24"/>
        </w:rPr>
      </w:pPr>
    </w:p>
    <w:p w:rsidR="009D5416" w:rsidRPr="00EA571A" w:rsidRDefault="00EA571A" w:rsidP="00EA571A">
      <w:pPr>
        <w:jc w:val="both"/>
        <w:rPr>
          <w:sz w:val="24"/>
          <w:szCs w:val="24"/>
        </w:rPr>
      </w:pPr>
      <w:r>
        <w:rPr>
          <w:b/>
          <w:sz w:val="24"/>
          <w:szCs w:val="24"/>
        </w:rPr>
        <w:t xml:space="preserve">(ii) </w:t>
      </w:r>
      <w:r w:rsidR="00F339C2" w:rsidRPr="00EA571A">
        <w:rPr>
          <w:b/>
          <w:sz w:val="24"/>
          <w:szCs w:val="24"/>
        </w:rPr>
        <w:t>Comparing the Decile Distributions of IMD and RDI LSOAs</w:t>
      </w:r>
    </w:p>
    <w:p w:rsidR="009D5416" w:rsidRPr="00562AAA" w:rsidRDefault="009D5416" w:rsidP="000A58A5">
      <w:pPr>
        <w:jc w:val="both"/>
        <w:rPr>
          <w:sz w:val="24"/>
          <w:szCs w:val="24"/>
        </w:rPr>
      </w:pPr>
      <w:r w:rsidRPr="00562AAA">
        <w:rPr>
          <w:sz w:val="24"/>
          <w:szCs w:val="24"/>
        </w:rPr>
        <w:t xml:space="preserve">Table 3 shows the distribution of the three rural types of LSOA against MDI 2019 ranked scores grouped into the two most disadvantaged deciles and into five quintiles. This is the most elementary presentation of the way in which the IMD </w:t>
      </w:r>
      <w:r w:rsidR="00D94473" w:rsidRPr="00562AAA">
        <w:rPr>
          <w:sz w:val="24"/>
          <w:szCs w:val="24"/>
        </w:rPr>
        <w:t xml:space="preserve">may be said to be </w:t>
      </w:r>
      <w:r w:rsidRPr="00562AAA">
        <w:rPr>
          <w:sz w:val="24"/>
          <w:szCs w:val="24"/>
        </w:rPr>
        <w:t>biased towards urban settlement</w:t>
      </w:r>
      <w:r w:rsidR="00D94473" w:rsidRPr="00562AAA">
        <w:rPr>
          <w:sz w:val="24"/>
          <w:szCs w:val="24"/>
        </w:rPr>
        <w:t>s. O</w:t>
      </w:r>
      <w:r w:rsidRPr="00562AAA">
        <w:rPr>
          <w:sz w:val="24"/>
          <w:szCs w:val="24"/>
        </w:rPr>
        <w:t xml:space="preserve">nly 10 LSOAs appear in deciles 1 and 2 </w:t>
      </w:r>
      <w:r w:rsidR="00732CBC" w:rsidRPr="00562AAA">
        <w:rPr>
          <w:sz w:val="24"/>
          <w:szCs w:val="24"/>
        </w:rPr>
        <w:t xml:space="preserve">(i.e. 6 percent of </w:t>
      </w:r>
      <w:r w:rsidR="004E3386" w:rsidRPr="00562AAA">
        <w:rPr>
          <w:sz w:val="24"/>
          <w:szCs w:val="24"/>
        </w:rPr>
        <w:t>all</w:t>
      </w:r>
      <w:r w:rsidR="00732CBC" w:rsidRPr="00562AAA">
        <w:rPr>
          <w:sz w:val="24"/>
          <w:szCs w:val="24"/>
        </w:rPr>
        <w:t xml:space="preserve"> rural </w:t>
      </w:r>
      <w:r w:rsidR="004E3386" w:rsidRPr="00562AAA">
        <w:rPr>
          <w:sz w:val="24"/>
          <w:szCs w:val="24"/>
        </w:rPr>
        <w:t xml:space="preserve">LSOA </w:t>
      </w:r>
      <w:r w:rsidR="00732CBC" w:rsidRPr="00562AAA">
        <w:rPr>
          <w:sz w:val="24"/>
          <w:szCs w:val="24"/>
        </w:rPr>
        <w:t xml:space="preserve">types) compared with 55 (32 percent) of urban </w:t>
      </w:r>
      <w:r w:rsidR="004E3386" w:rsidRPr="00562AAA">
        <w:rPr>
          <w:sz w:val="24"/>
          <w:szCs w:val="24"/>
        </w:rPr>
        <w:t xml:space="preserve">LSOA </w:t>
      </w:r>
      <w:r w:rsidR="00732CBC" w:rsidRPr="00562AAA">
        <w:rPr>
          <w:sz w:val="24"/>
          <w:szCs w:val="24"/>
        </w:rPr>
        <w:t>type</w:t>
      </w:r>
      <w:r w:rsidR="004E3386" w:rsidRPr="00562AAA">
        <w:rPr>
          <w:sz w:val="24"/>
          <w:szCs w:val="24"/>
        </w:rPr>
        <w:t>s</w:t>
      </w:r>
      <w:r w:rsidR="00732CBC" w:rsidRPr="00562AAA">
        <w:rPr>
          <w:sz w:val="24"/>
          <w:szCs w:val="24"/>
        </w:rPr>
        <w:t>.</w:t>
      </w:r>
      <w:r w:rsidR="00D94473" w:rsidRPr="00562AAA">
        <w:rPr>
          <w:sz w:val="24"/>
          <w:szCs w:val="24"/>
        </w:rPr>
        <w:t xml:space="preserve"> </w:t>
      </w:r>
    </w:p>
    <w:p w:rsidR="007469D3" w:rsidRPr="00562AAA" w:rsidRDefault="007469D3" w:rsidP="000A58A5">
      <w:pPr>
        <w:jc w:val="both"/>
        <w:rPr>
          <w:b/>
          <w:sz w:val="24"/>
          <w:szCs w:val="24"/>
        </w:rPr>
      </w:pPr>
    </w:p>
    <w:p w:rsidR="00732CBC" w:rsidRPr="00562AAA" w:rsidRDefault="00732CBC" w:rsidP="000A58A5">
      <w:pPr>
        <w:jc w:val="both"/>
        <w:rPr>
          <w:b/>
          <w:sz w:val="24"/>
          <w:szCs w:val="24"/>
        </w:rPr>
      </w:pPr>
      <w:r w:rsidRPr="00562AAA">
        <w:rPr>
          <w:b/>
          <w:sz w:val="24"/>
          <w:szCs w:val="24"/>
        </w:rPr>
        <w:t>Table 3</w:t>
      </w:r>
      <w:r w:rsidR="00D94473" w:rsidRPr="00562AAA">
        <w:rPr>
          <w:b/>
          <w:sz w:val="24"/>
          <w:szCs w:val="24"/>
        </w:rPr>
        <w:t>:</w:t>
      </w:r>
      <w:r w:rsidRPr="00562AAA">
        <w:rPr>
          <w:b/>
          <w:sz w:val="24"/>
          <w:szCs w:val="24"/>
        </w:rPr>
        <w:t xml:space="preserve"> The Distribution of IMD 2019 LSOA Ranks </w:t>
      </w:r>
      <w:r w:rsidR="00492BD3" w:rsidRPr="00562AAA">
        <w:rPr>
          <w:b/>
          <w:sz w:val="24"/>
          <w:szCs w:val="24"/>
        </w:rPr>
        <w:t>by</w:t>
      </w:r>
      <w:r w:rsidRPr="00562AAA">
        <w:rPr>
          <w:b/>
          <w:sz w:val="24"/>
          <w:szCs w:val="24"/>
        </w:rPr>
        <w:t xml:space="preserve"> Settlement Type </w:t>
      </w:r>
    </w:p>
    <w:p w:rsidR="00B218FA" w:rsidRPr="00562AAA" w:rsidRDefault="00B218FA" w:rsidP="000A58A5">
      <w:pPr>
        <w:ind w:firstLine="567"/>
        <w:jc w:val="both"/>
        <w:rPr>
          <w:b/>
          <w:sz w:val="24"/>
          <w:szCs w:val="24"/>
        </w:rPr>
      </w:pPr>
      <w:r w:rsidRPr="00562AAA">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simplePos x="0" y="0"/>
            <wp:positionH relativeFrom="column">
              <wp:posOffset>0</wp:posOffset>
            </wp:positionH>
            <wp:positionV relativeFrom="paragraph">
              <wp:posOffset>44450</wp:posOffset>
            </wp:positionV>
            <wp:extent cx="5715000" cy="13784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518" cy="1383192"/>
                    </a:xfrm>
                    <a:prstGeom prst="rect">
                      <a:avLst/>
                    </a:prstGeom>
                    <a:noFill/>
                    <a:ln>
                      <a:noFill/>
                    </a:ln>
                    <a:effectLst/>
                  </pic:spPr>
                </pic:pic>
              </a:graphicData>
            </a:graphic>
          </wp:anchor>
        </w:drawing>
      </w:r>
    </w:p>
    <w:p w:rsidR="004E3386" w:rsidRPr="00562AAA" w:rsidRDefault="004E3386" w:rsidP="000A58A5">
      <w:pPr>
        <w:ind w:firstLine="567"/>
        <w:jc w:val="both"/>
        <w:rPr>
          <w:b/>
          <w:sz w:val="24"/>
          <w:szCs w:val="24"/>
        </w:rPr>
      </w:pPr>
    </w:p>
    <w:p w:rsidR="006B77B3" w:rsidRPr="00562AAA" w:rsidRDefault="006B77B3" w:rsidP="000A58A5">
      <w:pPr>
        <w:pStyle w:val="ListParagraph"/>
        <w:ind w:left="567"/>
        <w:jc w:val="both"/>
        <w:rPr>
          <w:sz w:val="24"/>
          <w:szCs w:val="24"/>
        </w:rPr>
      </w:pPr>
    </w:p>
    <w:p w:rsidR="00454EF0" w:rsidRPr="00562AAA" w:rsidRDefault="00454EF0" w:rsidP="000A58A5">
      <w:pPr>
        <w:jc w:val="both"/>
        <w:rPr>
          <w:sz w:val="24"/>
          <w:szCs w:val="24"/>
        </w:rPr>
      </w:pPr>
    </w:p>
    <w:p w:rsidR="004E3386" w:rsidRPr="00562AAA" w:rsidRDefault="004E3386" w:rsidP="000A58A5">
      <w:pPr>
        <w:jc w:val="both"/>
        <w:rPr>
          <w:sz w:val="24"/>
          <w:szCs w:val="24"/>
        </w:rPr>
      </w:pPr>
      <w:r w:rsidRPr="00562AAA">
        <w:rPr>
          <w:sz w:val="24"/>
          <w:szCs w:val="24"/>
        </w:rPr>
        <w:tab/>
      </w:r>
    </w:p>
    <w:p w:rsidR="00933B3B" w:rsidRPr="00562AAA" w:rsidRDefault="00D94473" w:rsidP="000A58A5">
      <w:pPr>
        <w:pStyle w:val="ListParagraph"/>
        <w:ind w:left="121"/>
        <w:jc w:val="both"/>
        <w:rPr>
          <w:sz w:val="24"/>
          <w:szCs w:val="24"/>
        </w:rPr>
      </w:pPr>
      <w:r w:rsidRPr="00562AAA">
        <w:rPr>
          <w:sz w:val="24"/>
          <w:szCs w:val="24"/>
        </w:rPr>
        <w:t>Table 4 shows the same distribution</w:t>
      </w:r>
      <w:r w:rsidR="00933B3B" w:rsidRPr="00562AAA">
        <w:rPr>
          <w:sz w:val="24"/>
          <w:szCs w:val="24"/>
        </w:rPr>
        <w:t>s</w:t>
      </w:r>
      <w:r w:rsidRPr="00562AAA">
        <w:rPr>
          <w:sz w:val="24"/>
          <w:szCs w:val="24"/>
        </w:rPr>
        <w:t xml:space="preserve"> based on the RDI.</w:t>
      </w:r>
      <w:r w:rsidR="004D4547" w:rsidRPr="00562AAA">
        <w:rPr>
          <w:rStyle w:val="FootnoteReference"/>
          <w:sz w:val="24"/>
          <w:szCs w:val="24"/>
        </w:rPr>
        <w:footnoteReference w:id="7"/>
      </w:r>
      <w:r w:rsidR="004914FD" w:rsidRPr="00562AAA">
        <w:rPr>
          <w:sz w:val="24"/>
          <w:szCs w:val="24"/>
        </w:rPr>
        <w:t xml:space="preserve"> </w:t>
      </w:r>
      <w:r w:rsidR="00933B3B" w:rsidRPr="00562AAA">
        <w:rPr>
          <w:sz w:val="24"/>
          <w:szCs w:val="24"/>
        </w:rPr>
        <w:t>Overall, t</w:t>
      </w:r>
      <w:r w:rsidR="004914FD" w:rsidRPr="00562AAA">
        <w:rPr>
          <w:sz w:val="24"/>
          <w:szCs w:val="24"/>
        </w:rPr>
        <w:t xml:space="preserve">here is an increase of 41 LSOAs </w:t>
      </w:r>
      <w:r w:rsidR="00933B3B" w:rsidRPr="00562AAA">
        <w:rPr>
          <w:sz w:val="24"/>
          <w:szCs w:val="24"/>
        </w:rPr>
        <w:t>in</w:t>
      </w:r>
      <w:r w:rsidR="004914FD" w:rsidRPr="00562AAA">
        <w:rPr>
          <w:sz w:val="24"/>
          <w:szCs w:val="24"/>
        </w:rPr>
        <w:t xml:space="preserve"> decile 1 and of 16 LSOAs in decile 2. </w:t>
      </w:r>
      <w:r w:rsidR="00933B3B" w:rsidRPr="00562AAA">
        <w:rPr>
          <w:sz w:val="24"/>
          <w:szCs w:val="24"/>
        </w:rPr>
        <w:t>These are predominantly ‘rural’ LSOAs – 25 in the case of Rural Town and Fringe types and 24 in the case of Rural Village and Dispersed types.</w:t>
      </w:r>
      <w:r w:rsidR="004914FD" w:rsidRPr="00562AAA">
        <w:rPr>
          <w:sz w:val="24"/>
          <w:szCs w:val="24"/>
        </w:rPr>
        <w:t xml:space="preserve"> </w:t>
      </w:r>
      <w:r w:rsidR="00933B3B" w:rsidRPr="00562AAA">
        <w:rPr>
          <w:sz w:val="24"/>
          <w:szCs w:val="24"/>
        </w:rPr>
        <w:t xml:space="preserve">Note, however, that compared with the IMD the RDI has actually </w:t>
      </w:r>
      <w:r w:rsidR="00933B3B" w:rsidRPr="00562AAA">
        <w:rPr>
          <w:i/>
          <w:sz w:val="24"/>
          <w:szCs w:val="24"/>
        </w:rPr>
        <w:t>increased</w:t>
      </w:r>
      <w:r w:rsidR="00933B3B" w:rsidRPr="00562AAA">
        <w:rPr>
          <w:sz w:val="24"/>
          <w:szCs w:val="24"/>
        </w:rPr>
        <w:t xml:space="preserve"> the number of Urban City and Town LSOAs appearing in Decile 1 – from 28 to 44. This may seem counter-intuitive given the rationale of the RDI.</w:t>
      </w:r>
    </w:p>
    <w:p w:rsidR="00F91B84" w:rsidRPr="00562AAA" w:rsidRDefault="00933B3B" w:rsidP="000A58A5">
      <w:pPr>
        <w:jc w:val="both"/>
        <w:rPr>
          <w:b/>
          <w:sz w:val="24"/>
          <w:szCs w:val="24"/>
        </w:rPr>
      </w:pPr>
      <w:r w:rsidRPr="00562AAA">
        <w:rPr>
          <w:b/>
          <w:sz w:val="24"/>
          <w:szCs w:val="24"/>
        </w:rPr>
        <w:t xml:space="preserve"> </w:t>
      </w:r>
    </w:p>
    <w:p w:rsidR="00FA1A23" w:rsidRPr="00562AAA" w:rsidRDefault="00FA1A23" w:rsidP="000A58A5">
      <w:pPr>
        <w:jc w:val="both"/>
        <w:rPr>
          <w:b/>
          <w:sz w:val="24"/>
          <w:szCs w:val="24"/>
        </w:rPr>
      </w:pPr>
      <w:r w:rsidRPr="00562AAA">
        <w:rPr>
          <w:b/>
          <w:sz w:val="24"/>
          <w:szCs w:val="24"/>
        </w:rPr>
        <w:t xml:space="preserve">Table </w:t>
      </w:r>
      <w:r w:rsidR="00924EF4" w:rsidRPr="00562AAA">
        <w:rPr>
          <w:b/>
          <w:sz w:val="24"/>
          <w:szCs w:val="24"/>
        </w:rPr>
        <w:t>4</w:t>
      </w:r>
      <w:r w:rsidRPr="00562AAA">
        <w:rPr>
          <w:b/>
          <w:sz w:val="24"/>
          <w:szCs w:val="24"/>
        </w:rPr>
        <w:t xml:space="preserve">: The Distribution of RDI LSOA Ranks </w:t>
      </w:r>
      <w:r w:rsidR="00492BD3" w:rsidRPr="00562AAA">
        <w:rPr>
          <w:b/>
          <w:sz w:val="24"/>
          <w:szCs w:val="24"/>
        </w:rPr>
        <w:t>by</w:t>
      </w:r>
      <w:r w:rsidRPr="00562AAA">
        <w:rPr>
          <w:b/>
          <w:sz w:val="24"/>
          <w:szCs w:val="24"/>
        </w:rPr>
        <w:t xml:space="preserve"> Settlement Type </w:t>
      </w:r>
    </w:p>
    <w:p w:rsidR="008F3883" w:rsidRPr="00562AAA" w:rsidRDefault="008F3883" w:rsidP="000A58A5">
      <w:pPr>
        <w:jc w:val="both"/>
      </w:pPr>
      <w:r w:rsidRPr="00562AAA">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simplePos x="0" y="0"/>
            <wp:positionH relativeFrom="column">
              <wp:posOffset>0</wp:posOffset>
            </wp:positionH>
            <wp:positionV relativeFrom="paragraph">
              <wp:posOffset>36194</wp:posOffset>
            </wp:positionV>
            <wp:extent cx="5842879" cy="130492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0266" cy="1328908"/>
                    </a:xfrm>
                    <a:prstGeom prst="rect">
                      <a:avLst/>
                    </a:prstGeom>
                    <a:noFill/>
                    <a:ln>
                      <a:noFill/>
                    </a:ln>
                    <a:effectLst/>
                  </pic:spPr>
                </pic:pic>
              </a:graphicData>
            </a:graphic>
          </wp:anchor>
        </w:drawing>
      </w:r>
    </w:p>
    <w:p w:rsidR="002F3280" w:rsidRPr="00562AAA" w:rsidRDefault="002F3280" w:rsidP="000A58A5">
      <w:pPr>
        <w:jc w:val="both"/>
      </w:pPr>
    </w:p>
    <w:p w:rsidR="004E3386" w:rsidRPr="00562AAA" w:rsidRDefault="00A80C65" w:rsidP="000A58A5">
      <w:pPr>
        <w:jc w:val="both"/>
      </w:pPr>
      <w:r w:rsidRPr="00562AAA">
        <w:tab/>
      </w:r>
    </w:p>
    <w:p w:rsidR="00C71CB2" w:rsidRPr="00562AAA" w:rsidRDefault="00C71CB2" w:rsidP="000A58A5">
      <w:pPr>
        <w:jc w:val="both"/>
      </w:pPr>
    </w:p>
    <w:p w:rsidR="00B63AD5" w:rsidRPr="00562AAA" w:rsidRDefault="00B63AD5" w:rsidP="000A58A5">
      <w:pPr>
        <w:pStyle w:val="ListParagraph"/>
        <w:ind w:left="121"/>
        <w:jc w:val="both"/>
      </w:pPr>
    </w:p>
    <w:p w:rsidR="00B63AD5" w:rsidRPr="00562AAA" w:rsidRDefault="00B63AD5" w:rsidP="000A58A5">
      <w:pPr>
        <w:pStyle w:val="ListParagraph"/>
        <w:ind w:left="121"/>
        <w:jc w:val="both"/>
      </w:pPr>
    </w:p>
    <w:p w:rsidR="00C71CB2" w:rsidRPr="00562AAA" w:rsidRDefault="004D0C1F" w:rsidP="000A58A5">
      <w:pPr>
        <w:pStyle w:val="ListParagraph"/>
        <w:ind w:left="121"/>
        <w:jc w:val="both"/>
      </w:pPr>
      <w:r w:rsidRPr="00562AAA">
        <w:tab/>
      </w:r>
      <w:r w:rsidRPr="00562AAA">
        <w:tab/>
      </w:r>
      <w:r w:rsidRPr="00562AAA">
        <w:tab/>
      </w:r>
    </w:p>
    <w:p w:rsidR="00130E13" w:rsidRPr="00274590" w:rsidRDefault="00F91B84" w:rsidP="000A58A5">
      <w:pPr>
        <w:pStyle w:val="ListParagraph"/>
        <w:ind w:left="121"/>
        <w:jc w:val="both"/>
        <w:rPr>
          <w:sz w:val="24"/>
          <w:szCs w:val="24"/>
        </w:rPr>
      </w:pPr>
      <w:r w:rsidRPr="00274590">
        <w:rPr>
          <w:sz w:val="24"/>
          <w:szCs w:val="24"/>
        </w:rPr>
        <w:t xml:space="preserve">Mapping provides a basis for generalising comparisons spatially and, potentially, for engendering explanation via local knowledge. Map L1 shows </w:t>
      </w:r>
      <w:r w:rsidR="00B63AD5" w:rsidRPr="00274590">
        <w:rPr>
          <w:sz w:val="24"/>
          <w:szCs w:val="24"/>
        </w:rPr>
        <w:t xml:space="preserve">LSOAs classified by the most </w:t>
      </w:r>
      <w:r w:rsidR="00B63AD5" w:rsidRPr="00274590">
        <w:rPr>
          <w:sz w:val="24"/>
          <w:szCs w:val="24"/>
        </w:rPr>
        <w:lastRenderedPageBreak/>
        <w:t>deprived deciles 1 and 2 of the IMD 2019</w:t>
      </w:r>
      <w:r w:rsidRPr="00274590">
        <w:rPr>
          <w:sz w:val="24"/>
          <w:szCs w:val="24"/>
        </w:rPr>
        <w:t>. Map L2 shows the same deciles for the RDI for the same year data</w:t>
      </w:r>
      <w:r w:rsidR="00B63AD5" w:rsidRPr="00274590">
        <w:rPr>
          <w:sz w:val="24"/>
          <w:szCs w:val="24"/>
        </w:rPr>
        <w:t xml:space="preserve">. Within Lincolnshire IMD Deciles 1 and 2 are confined to the East Lindsey coastal strip formed of two parts at the core of </w:t>
      </w:r>
      <w:r w:rsidR="004D47DA" w:rsidRPr="00274590">
        <w:rPr>
          <w:sz w:val="24"/>
          <w:szCs w:val="24"/>
        </w:rPr>
        <w:t>which</w:t>
      </w:r>
      <w:r w:rsidR="0006206A" w:rsidRPr="00274590">
        <w:rPr>
          <w:sz w:val="24"/>
          <w:szCs w:val="24"/>
        </w:rPr>
        <w:t xml:space="preserve"> are LSOAs classified as ‘</w:t>
      </w:r>
      <w:r w:rsidR="00B63AD5" w:rsidRPr="00274590">
        <w:rPr>
          <w:sz w:val="24"/>
          <w:szCs w:val="24"/>
        </w:rPr>
        <w:t xml:space="preserve"> Urban City and Town’ on the RUC – a northerly group </w:t>
      </w:r>
      <w:r w:rsidR="00CE3EAC" w:rsidRPr="00274590">
        <w:rPr>
          <w:sz w:val="24"/>
          <w:szCs w:val="24"/>
        </w:rPr>
        <w:t>focused on Mablethorpe and a more extensive group around Chapel St</w:t>
      </w:r>
      <w:r w:rsidR="00BD4D28" w:rsidRPr="00274590">
        <w:rPr>
          <w:sz w:val="24"/>
          <w:szCs w:val="24"/>
        </w:rPr>
        <w:t>. L</w:t>
      </w:r>
      <w:r w:rsidR="00CE3EAC" w:rsidRPr="00274590">
        <w:rPr>
          <w:sz w:val="24"/>
          <w:szCs w:val="24"/>
        </w:rPr>
        <w:t>eonards</w:t>
      </w:r>
      <w:r w:rsidR="00BD4D28" w:rsidRPr="00274590">
        <w:rPr>
          <w:sz w:val="24"/>
          <w:szCs w:val="24"/>
        </w:rPr>
        <w:t xml:space="preserve">, </w:t>
      </w:r>
      <w:r w:rsidR="00CE3EAC" w:rsidRPr="00274590">
        <w:rPr>
          <w:sz w:val="24"/>
          <w:szCs w:val="24"/>
        </w:rPr>
        <w:t>Ingoldmel</w:t>
      </w:r>
      <w:r w:rsidR="00BD4D28" w:rsidRPr="00274590">
        <w:rPr>
          <w:sz w:val="24"/>
          <w:szCs w:val="24"/>
        </w:rPr>
        <w:t xml:space="preserve">s, </w:t>
      </w:r>
      <w:r w:rsidR="00CE3EAC" w:rsidRPr="00274590">
        <w:rPr>
          <w:sz w:val="24"/>
          <w:szCs w:val="24"/>
        </w:rPr>
        <w:t>Skegness. There are no ‘most deprived’ rural LSOAs elsewhere in Lincolnshire</w:t>
      </w:r>
      <w:r w:rsidR="00BD4D28" w:rsidRPr="00274590">
        <w:rPr>
          <w:sz w:val="24"/>
          <w:szCs w:val="24"/>
        </w:rPr>
        <w:t>. T</w:t>
      </w:r>
      <w:r w:rsidR="00CE3EAC" w:rsidRPr="00274590">
        <w:rPr>
          <w:sz w:val="24"/>
          <w:szCs w:val="24"/>
        </w:rPr>
        <w:t>here are no LSOAs in Decile 1 among the Rural Village and Dispersed settlement class on IMD 2019.</w:t>
      </w:r>
    </w:p>
    <w:p w:rsidR="00CE3EAC" w:rsidRPr="00274590" w:rsidRDefault="00CE3EAC" w:rsidP="000A58A5">
      <w:pPr>
        <w:pStyle w:val="ListParagraph"/>
        <w:ind w:left="121"/>
        <w:jc w:val="both"/>
        <w:rPr>
          <w:sz w:val="24"/>
          <w:szCs w:val="24"/>
        </w:rPr>
      </w:pPr>
    </w:p>
    <w:p w:rsidR="008200EA" w:rsidRPr="00274590" w:rsidRDefault="00CE3EAC" w:rsidP="000A58A5">
      <w:pPr>
        <w:pStyle w:val="ListParagraph"/>
        <w:ind w:left="121"/>
        <w:jc w:val="both"/>
        <w:rPr>
          <w:sz w:val="24"/>
          <w:szCs w:val="24"/>
        </w:rPr>
      </w:pPr>
      <w:r w:rsidRPr="00274590">
        <w:rPr>
          <w:sz w:val="24"/>
          <w:szCs w:val="24"/>
        </w:rPr>
        <w:t xml:space="preserve">RDI 2016, in clear contrast, appears to spread its two most deprived deciles further into East Lindsey contiguous with the IMD core </w:t>
      </w:r>
      <w:r w:rsidR="008200EA" w:rsidRPr="00274590">
        <w:rPr>
          <w:sz w:val="24"/>
          <w:szCs w:val="24"/>
        </w:rPr>
        <w:t>groups (which it replicates). These are mainly ‘Rural Village and Dispersed’ LSOAs. Perhaps most significantly, RDI 2016 identifies contiguous groups of ‘most deprived’ (by its own lights) LSOAs in Boston and South Holland as well as some grouped and isolated LSOAs in North Kesteven and West Lyndsey.</w:t>
      </w:r>
      <w:r w:rsidR="00175039" w:rsidRPr="00274590">
        <w:rPr>
          <w:sz w:val="24"/>
          <w:szCs w:val="24"/>
        </w:rPr>
        <w:t xml:space="preserve"> </w:t>
      </w:r>
      <w:r w:rsidR="00032E73" w:rsidRPr="00274590">
        <w:rPr>
          <w:sz w:val="24"/>
          <w:szCs w:val="24"/>
        </w:rPr>
        <w:t>In comparing the IMD/RDI outcome on the basis of these maps, however, we are aware that the size and shape of LSOAs masks the underlying detailed reality of rural settlement.</w:t>
      </w:r>
    </w:p>
    <w:p w:rsidR="00032E73" w:rsidRPr="00274590" w:rsidRDefault="00032E73" w:rsidP="000A58A5">
      <w:pPr>
        <w:pStyle w:val="ListParagraph"/>
        <w:ind w:left="121"/>
        <w:jc w:val="both"/>
        <w:rPr>
          <w:sz w:val="24"/>
          <w:szCs w:val="24"/>
        </w:rPr>
      </w:pPr>
    </w:p>
    <w:p w:rsidR="00032E73" w:rsidRPr="00274590" w:rsidRDefault="00032E73" w:rsidP="000A58A5">
      <w:pPr>
        <w:pStyle w:val="ListParagraph"/>
        <w:ind w:left="121"/>
        <w:jc w:val="both"/>
        <w:rPr>
          <w:sz w:val="24"/>
          <w:szCs w:val="24"/>
        </w:rPr>
      </w:pPr>
    </w:p>
    <w:p w:rsidR="00032E73" w:rsidRPr="00E72BB6" w:rsidRDefault="00E72BB6" w:rsidP="00E72BB6">
      <w:pPr>
        <w:ind w:left="142"/>
        <w:jc w:val="both"/>
        <w:rPr>
          <w:b/>
          <w:sz w:val="24"/>
          <w:szCs w:val="24"/>
        </w:rPr>
      </w:pPr>
      <w:r>
        <w:rPr>
          <w:b/>
          <w:sz w:val="24"/>
          <w:szCs w:val="24"/>
        </w:rPr>
        <w:t xml:space="preserve">(iii)  </w:t>
      </w:r>
      <w:r w:rsidR="00032E73" w:rsidRPr="00E72BB6">
        <w:rPr>
          <w:b/>
          <w:sz w:val="24"/>
          <w:szCs w:val="24"/>
        </w:rPr>
        <w:t>Significant Shifts in the Decile Distributions</w:t>
      </w:r>
    </w:p>
    <w:p w:rsidR="00032E73" w:rsidRPr="00274590" w:rsidRDefault="00032E73" w:rsidP="000A58A5">
      <w:pPr>
        <w:pStyle w:val="ListParagraph"/>
        <w:ind w:left="1080"/>
        <w:jc w:val="both"/>
        <w:rPr>
          <w:sz w:val="24"/>
          <w:szCs w:val="24"/>
        </w:rPr>
      </w:pPr>
    </w:p>
    <w:p w:rsidR="00CE3EAC" w:rsidRPr="00274590" w:rsidRDefault="00A144CB" w:rsidP="000A58A5">
      <w:pPr>
        <w:pStyle w:val="ListParagraph"/>
        <w:ind w:left="121"/>
        <w:jc w:val="both"/>
        <w:rPr>
          <w:sz w:val="24"/>
          <w:szCs w:val="24"/>
        </w:rPr>
      </w:pPr>
      <w:r w:rsidRPr="00274590">
        <w:rPr>
          <w:sz w:val="24"/>
          <w:szCs w:val="24"/>
        </w:rPr>
        <w:t>T</w:t>
      </w:r>
      <w:r w:rsidR="00175039" w:rsidRPr="00274590">
        <w:rPr>
          <w:sz w:val="24"/>
          <w:szCs w:val="24"/>
        </w:rPr>
        <w:t xml:space="preserve">he shift from one adjacent decile category to another may be marginal depending upon the rank of an LSOA within deciles. </w:t>
      </w:r>
      <w:r w:rsidRPr="00274590">
        <w:rPr>
          <w:sz w:val="24"/>
          <w:szCs w:val="24"/>
        </w:rPr>
        <w:t xml:space="preserve">A shift from Decile 2 to Decile 1 </w:t>
      </w:r>
      <w:r w:rsidR="00BD4D28" w:rsidRPr="00274590">
        <w:rPr>
          <w:sz w:val="24"/>
          <w:szCs w:val="24"/>
        </w:rPr>
        <w:t>could</w:t>
      </w:r>
      <w:r w:rsidRPr="00274590">
        <w:rPr>
          <w:sz w:val="24"/>
          <w:szCs w:val="24"/>
        </w:rPr>
        <w:t xml:space="preserve">, for example, involve only one change in rank. </w:t>
      </w:r>
      <w:r w:rsidR="00175039" w:rsidRPr="00274590">
        <w:rPr>
          <w:sz w:val="24"/>
          <w:szCs w:val="24"/>
        </w:rPr>
        <w:t xml:space="preserve">Table </w:t>
      </w:r>
      <w:r w:rsidR="00F5777E" w:rsidRPr="00274590">
        <w:rPr>
          <w:sz w:val="24"/>
          <w:szCs w:val="24"/>
        </w:rPr>
        <w:t>5</w:t>
      </w:r>
      <w:r w:rsidR="00175039" w:rsidRPr="00274590">
        <w:rPr>
          <w:sz w:val="24"/>
          <w:szCs w:val="24"/>
        </w:rPr>
        <w:t xml:space="preserve"> presents significant shifts between one decile and another, specifically a 2, 3 </w:t>
      </w:r>
      <w:r w:rsidR="00F5777E" w:rsidRPr="00274590">
        <w:rPr>
          <w:sz w:val="24"/>
          <w:szCs w:val="24"/>
        </w:rPr>
        <w:t>or 4</w:t>
      </w:r>
      <w:r w:rsidR="00175039" w:rsidRPr="00274590">
        <w:rPr>
          <w:sz w:val="24"/>
          <w:szCs w:val="24"/>
        </w:rPr>
        <w:t xml:space="preserve"> </w:t>
      </w:r>
      <w:r w:rsidR="00492BD3" w:rsidRPr="00274590">
        <w:rPr>
          <w:sz w:val="24"/>
          <w:szCs w:val="24"/>
        </w:rPr>
        <w:t>deciles</w:t>
      </w:r>
      <w:r w:rsidR="00175039" w:rsidRPr="00274590">
        <w:rPr>
          <w:sz w:val="24"/>
          <w:szCs w:val="24"/>
        </w:rPr>
        <w:t xml:space="preserve"> shift</w:t>
      </w:r>
      <w:r w:rsidR="00032E73" w:rsidRPr="00274590">
        <w:rPr>
          <w:sz w:val="24"/>
          <w:szCs w:val="24"/>
        </w:rPr>
        <w:t xml:space="preserve"> up or down the scale.</w:t>
      </w:r>
      <w:r w:rsidRPr="00274590">
        <w:rPr>
          <w:sz w:val="24"/>
          <w:szCs w:val="24"/>
        </w:rPr>
        <w:t xml:space="preserve"> In the table ‘</w:t>
      </w:r>
      <w:r w:rsidR="00F5777E" w:rsidRPr="00274590">
        <w:rPr>
          <w:sz w:val="24"/>
          <w:szCs w:val="24"/>
        </w:rPr>
        <w:t>less deprived’</w:t>
      </w:r>
      <w:r w:rsidRPr="00274590">
        <w:rPr>
          <w:sz w:val="24"/>
          <w:szCs w:val="24"/>
        </w:rPr>
        <w:t xml:space="preserve"> means a shift to a lower rank, whilst ‘</w:t>
      </w:r>
      <w:r w:rsidR="00F5777E" w:rsidRPr="00274590">
        <w:rPr>
          <w:sz w:val="24"/>
          <w:szCs w:val="24"/>
        </w:rPr>
        <w:t>more deprived’</w:t>
      </w:r>
      <w:r w:rsidRPr="00274590">
        <w:rPr>
          <w:sz w:val="24"/>
          <w:szCs w:val="24"/>
        </w:rPr>
        <w:t xml:space="preserve"> means a shift to a higher rank</w:t>
      </w:r>
      <w:r w:rsidR="00F5777E" w:rsidRPr="00274590">
        <w:rPr>
          <w:sz w:val="24"/>
          <w:szCs w:val="24"/>
        </w:rPr>
        <w:t xml:space="preserve"> between the IMD and the RDI</w:t>
      </w:r>
      <w:r w:rsidRPr="00274590">
        <w:rPr>
          <w:sz w:val="24"/>
          <w:szCs w:val="24"/>
        </w:rPr>
        <w:t>.</w:t>
      </w:r>
    </w:p>
    <w:p w:rsidR="00A518C0" w:rsidRPr="00274590" w:rsidRDefault="00A518C0" w:rsidP="000A58A5">
      <w:pPr>
        <w:pStyle w:val="ListParagraph"/>
        <w:ind w:left="121"/>
        <w:jc w:val="both"/>
        <w:rPr>
          <w:sz w:val="24"/>
          <w:szCs w:val="24"/>
        </w:rPr>
      </w:pPr>
    </w:p>
    <w:p w:rsidR="00A518C0" w:rsidRPr="00274590" w:rsidRDefault="00A144CB" w:rsidP="000A58A5">
      <w:pPr>
        <w:pStyle w:val="ListParagraph"/>
        <w:ind w:left="121"/>
        <w:jc w:val="both"/>
        <w:rPr>
          <w:b/>
          <w:sz w:val="24"/>
          <w:szCs w:val="24"/>
        </w:rPr>
      </w:pPr>
      <w:r w:rsidRPr="00274590">
        <w:rPr>
          <w:b/>
          <w:sz w:val="24"/>
          <w:szCs w:val="24"/>
        </w:rPr>
        <w:t xml:space="preserve">Table </w:t>
      </w:r>
      <w:r w:rsidR="00924EF4" w:rsidRPr="00274590">
        <w:rPr>
          <w:b/>
          <w:sz w:val="24"/>
          <w:szCs w:val="24"/>
        </w:rPr>
        <w:t>5</w:t>
      </w:r>
      <w:r w:rsidRPr="00274590">
        <w:rPr>
          <w:b/>
          <w:sz w:val="24"/>
          <w:szCs w:val="24"/>
        </w:rPr>
        <w:t>: Significant Shif</w:t>
      </w:r>
      <w:r w:rsidR="00492BD3" w:rsidRPr="00274590">
        <w:rPr>
          <w:b/>
          <w:sz w:val="24"/>
          <w:szCs w:val="24"/>
        </w:rPr>
        <w:t>ts</w:t>
      </w:r>
      <w:r w:rsidRPr="00274590">
        <w:rPr>
          <w:b/>
          <w:sz w:val="24"/>
          <w:szCs w:val="24"/>
        </w:rPr>
        <w:t xml:space="preserve"> </w:t>
      </w:r>
      <w:r w:rsidR="00292039" w:rsidRPr="00274590">
        <w:rPr>
          <w:b/>
          <w:sz w:val="24"/>
          <w:szCs w:val="24"/>
        </w:rPr>
        <w:t xml:space="preserve">in Deciles </w:t>
      </w:r>
      <w:r w:rsidR="00492BD3" w:rsidRPr="00274590">
        <w:rPr>
          <w:b/>
          <w:sz w:val="24"/>
          <w:szCs w:val="24"/>
        </w:rPr>
        <w:t>f</w:t>
      </w:r>
      <w:r w:rsidRPr="00274590">
        <w:rPr>
          <w:b/>
          <w:sz w:val="24"/>
          <w:szCs w:val="24"/>
        </w:rPr>
        <w:t xml:space="preserve">rom IMD to RDI </w:t>
      </w:r>
    </w:p>
    <w:p w:rsidR="00A518C0" w:rsidRPr="00274590" w:rsidRDefault="00A518C0" w:rsidP="000A58A5">
      <w:pPr>
        <w:pStyle w:val="ListParagraph"/>
        <w:ind w:left="121"/>
        <w:jc w:val="both"/>
        <w:rPr>
          <w:sz w:val="24"/>
          <w:szCs w:val="24"/>
        </w:rPr>
      </w:pPr>
    </w:p>
    <w:p w:rsidR="00A144CB" w:rsidRPr="00274590" w:rsidRDefault="002C6AFE" w:rsidP="000A58A5">
      <w:pPr>
        <w:pStyle w:val="ListParagraph"/>
        <w:ind w:left="121"/>
        <w:jc w:val="both"/>
        <w:rPr>
          <w:sz w:val="24"/>
          <w:szCs w:val="24"/>
        </w:rPr>
      </w:pPr>
      <w:r w:rsidRPr="00274590">
        <w:rPr>
          <w:noProof/>
          <w:sz w:val="24"/>
          <w:szCs w:val="24"/>
          <w:lang w:eastAsia="en-GB"/>
        </w:rPr>
        <w:drawing>
          <wp:inline distT="0" distB="0" distL="0" distR="0">
            <wp:extent cx="5731510" cy="10737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31510" cy="1073785"/>
                    </a:xfrm>
                    <a:prstGeom prst="rect">
                      <a:avLst/>
                    </a:prstGeom>
                  </pic:spPr>
                </pic:pic>
              </a:graphicData>
            </a:graphic>
          </wp:inline>
        </w:drawing>
      </w:r>
    </w:p>
    <w:p w:rsidR="00A144CB" w:rsidRPr="00274590" w:rsidRDefault="00A144CB" w:rsidP="000A58A5">
      <w:pPr>
        <w:pStyle w:val="ListParagraph"/>
        <w:ind w:left="121"/>
        <w:jc w:val="both"/>
        <w:rPr>
          <w:sz w:val="24"/>
          <w:szCs w:val="24"/>
        </w:rPr>
      </w:pPr>
    </w:p>
    <w:p w:rsidR="00A144CB" w:rsidRPr="00274590" w:rsidRDefault="00A144CB" w:rsidP="000A58A5">
      <w:pPr>
        <w:pStyle w:val="ListParagraph"/>
        <w:ind w:left="121"/>
        <w:jc w:val="both"/>
        <w:rPr>
          <w:sz w:val="24"/>
          <w:szCs w:val="24"/>
        </w:rPr>
      </w:pPr>
      <w:r w:rsidRPr="00274590">
        <w:rPr>
          <w:sz w:val="24"/>
          <w:szCs w:val="24"/>
        </w:rPr>
        <w:t xml:space="preserve">The majority (165/420) </w:t>
      </w:r>
      <w:r w:rsidR="00F5777E" w:rsidRPr="00274590">
        <w:rPr>
          <w:sz w:val="24"/>
          <w:szCs w:val="24"/>
        </w:rPr>
        <w:t xml:space="preserve">of </w:t>
      </w:r>
      <w:r w:rsidRPr="00274590">
        <w:rPr>
          <w:sz w:val="24"/>
          <w:szCs w:val="24"/>
        </w:rPr>
        <w:t>significant changes are in the ‘</w:t>
      </w:r>
      <w:r w:rsidR="00F5777E" w:rsidRPr="00274590">
        <w:rPr>
          <w:sz w:val="24"/>
          <w:szCs w:val="24"/>
        </w:rPr>
        <w:t>more deprived’</w:t>
      </w:r>
      <w:r w:rsidRPr="00274590">
        <w:rPr>
          <w:sz w:val="24"/>
          <w:szCs w:val="24"/>
        </w:rPr>
        <w:t xml:space="preserve"> group 56 of which change by 3 deciles or more. </w:t>
      </w:r>
      <w:r w:rsidR="00F5777E" w:rsidRPr="00274590">
        <w:rPr>
          <w:sz w:val="24"/>
          <w:szCs w:val="24"/>
        </w:rPr>
        <w:t>T</w:t>
      </w:r>
      <w:r w:rsidRPr="00274590">
        <w:rPr>
          <w:sz w:val="24"/>
          <w:szCs w:val="24"/>
        </w:rPr>
        <w:t xml:space="preserve">here are </w:t>
      </w:r>
      <w:r w:rsidR="00F5777E" w:rsidRPr="00274590">
        <w:rPr>
          <w:sz w:val="24"/>
          <w:szCs w:val="24"/>
        </w:rPr>
        <w:t xml:space="preserve">only 7 </w:t>
      </w:r>
      <w:r w:rsidRPr="00274590">
        <w:rPr>
          <w:sz w:val="24"/>
          <w:szCs w:val="24"/>
        </w:rPr>
        <w:t>‘</w:t>
      </w:r>
      <w:r w:rsidR="00F5777E" w:rsidRPr="00274590">
        <w:rPr>
          <w:sz w:val="24"/>
          <w:szCs w:val="24"/>
        </w:rPr>
        <w:t>less deprived</w:t>
      </w:r>
      <w:r w:rsidRPr="00274590">
        <w:rPr>
          <w:sz w:val="24"/>
          <w:szCs w:val="24"/>
        </w:rPr>
        <w:t xml:space="preserve">’ LSOAs. </w:t>
      </w:r>
      <w:r w:rsidR="004B1933" w:rsidRPr="00274590">
        <w:rPr>
          <w:sz w:val="24"/>
          <w:szCs w:val="24"/>
        </w:rPr>
        <w:t>Of the 165 ‘</w:t>
      </w:r>
      <w:r w:rsidR="00F5777E" w:rsidRPr="00274590">
        <w:rPr>
          <w:sz w:val="24"/>
          <w:szCs w:val="24"/>
        </w:rPr>
        <w:t>more deprived’</w:t>
      </w:r>
      <w:r w:rsidR="004B1933" w:rsidRPr="00274590">
        <w:rPr>
          <w:sz w:val="24"/>
          <w:szCs w:val="24"/>
        </w:rPr>
        <w:t xml:space="preserve"> </w:t>
      </w:r>
      <w:r w:rsidR="00F5777E" w:rsidRPr="00274590">
        <w:rPr>
          <w:sz w:val="24"/>
          <w:szCs w:val="24"/>
        </w:rPr>
        <w:t>LSOAs</w:t>
      </w:r>
      <w:r w:rsidR="00832916" w:rsidRPr="00274590">
        <w:rPr>
          <w:sz w:val="24"/>
          <w:szCs w:val="24"/>
        </w:rPr>
        <w:t>,</w:t>
      </w:r>
      <w:r w:rsidR="004B1933" w:rsidRPr="00274590">
        <w:rPr>
          <w:sz w:val="24"/>
          <w:szCs w:val="24"/>
        </w:rPr>
        <w:t xml:space="preserve"> </w:t>
      </w:r>
      <w:r w:rsidR="00F5777E" w:rsidRPr="00274590">
        <w:rPr>
          <w:sz w:val="24"/>
          <w:szCs w:val="24"/>
        </w:rPr>
        <w:t>the majority (</w:t>
      </w:r>
      <w:r w:rsidR="004B1933" w:rsidRPr="00274590">
        <w:rPr>
          <w:sz w:val="24"/>
          <w:szCs w:val="24"/>
        </w:rPr>
        <w:t>72</w:t>
      </w:r>
      <w:proofErr w:type="gramStart"/>
      <w:r w:rsidR="00F5777E" w:rsidRPr="00274590">
        <w:rPr>
          <w:sz w:val="24"/>
          <w:szCs w:val="24"/>
        </w:rPr>
        <w:t>)</w:t>
      </w:r>
      <w:r w:rsidR="00832916" w:rsidRPr="00274590">
        <w:rPr>
          <w:sz w:val="24"/>
          <w:szCs w:val="24"/>
        </w:rPr>
        <w:t>,</w:t>
      </w:r>
      <w:proofErr w:type="gramEnd"/>
      <w:r w:rsidR="004B1933" w:rsidRPr="00274590">
        <w:rPr>
          <w:sz w:val="24"/>
          <w:szCs w:val="24"/>
        </w:rPr>
        <w:t xml:space="preserve"> are in the Rural Town and Fringe settlement type </w:t>
      </w:r>
      <w:r w:rsidR="00F5777E" w:rsidRPr="00274590">
        <w:rPr>
          <w:sz w:val="24"/>
          <w:szCs w:val="24"/>
        </w:rPr>
        <w:t xml:space="preserve">compared with </w:t>
      </w:r>
      <w:r w:rsidR="004B1933" w:rsidRPr="00274590">
        <w:rPr>
          <w:sz w:val="24"/>
          <w:szCs w:val="24"/>
        </w:rPr>
        <w:t xml:space="preserve">35 in Rural Village and Dispersed LSOAs. </w:t>
      </w:r>
      <w:r w:rsidR="00EF1A43" w:rsidRPr="00274590">
        <w:rPr>
          <w:sz w:val="24"/>
          <w:szCs w:val="24"/>
        </w:rPr>
        <w:t>No fewer than</w:t>
      </w:r>
      <w:r w:rsidR="004B1933" w:rsidRPr="00274590">
        <w:rPr>
          <w:sz w:val="24"/>
          <w:szCs w:val="24"/>
        </w:rPr>
        <w:t xml:space="preserve"> 58 of the ‘</w:t>
      </w:r>
      <w:r w:rsidR="00F5777E" w:rsidRPr="00274590">
        <w:rPr>
          <w:sz w:val="24"/>
          <w:szCs w:val="24"/>
        </w:rPr>
        <w:t>more deprived’</w:t>
      </w:r>
      <w:r w:rsidR="004B1933" w:rsidRPr="00274590">
        <w:rPr>
          <w:sz w:val="24"/>
          <w:szCs w:val="24"/>
        </w:rPr>
        <w:t xml:space="preserve"> group – 35 percent of this group - are Urban City and Town LSOAs.</w:t>
      </w:r>
      <w:r w:rsidR="00542E1F" w:rsidRPr="00274590">
        <w:rPr>
          <w:sz w:val="24"/>
          <w:szCs w:val="24"/>
        </w:rPr>
        <w:t xml:space="preserve"> </w:t>
      </w:r>
    </w:p>
    <w:p w:rsidR="004B1933" w:rsidRPr="00274590" w:rsidRDefault="004B1933" w:rsidP="000A58A5">
      <w:pPr>
        <w:pStyle w:val="ListParagraph"/>
        <w:ind w:left="121"/>
        <w:jc w:val="both"/>
        <w:rPr>
          <w:sz w:val="24"/>
          <w:szCs w:val="24"/>
        </w:rPr>
      </w:pPr>
    </w:p>
    <w:p w:rsidR="006D612D" w:rsidRPr="00274590" w:rsidRDefault="00BD4D28" w:rsidP="000A58A5">
      <w:pPr>
        <w:pStyle w:val="ListParagraph"/>
        <w:ind w:left="121"/>
        <w:jc w:val="both"/>
        <w:rPr>
          <w:sz w:val="24"/>
          <w:szCs w:val="24"/>
        </w:rPr>
      </w:pPr>
      <w:r w:rsidRPr="00274590">
        <w:rPr>
          <w:sz w:val="24"/>
          <w:szCs w:val="24"/>
        </w:rPr>
        <w:t>Map L3 shows</w:t>
      </w:r>
      <w:r w:rsidR="00C05FFC" w:rsidRPr="00274590">
        <w:rPr>
          <w:sz w:val="24"/>
          <w:szCs w:val="24"/>
        </w:rPr>
        <w:t xml:space="preserve"> significant shifts in IMD</w:t>
      </w:r>
      <w:r w:rsidRPr="00274590">
        <w:rPr>
          <w:sz w:val="24"/>
          <w:szCs w:val="24"/>
        </w:rPr>
        <w:t>/RDI</w:t>
      </w:r>
      <w:r w:rsidR="009112F6" w:rsidRPr="00274590">
        <w:rPr>
          <w:sz w:val="24"/>
          <w:szCs w:val="24"/>
        </w:rPr>
        <w:t xml:space="preserve"> </w:t>
      </w:r>
      <w:r w:rsidR="00C05FFC" w:rsidRPr="00274590">
        <w:rPr>
          <w:sz w:val="24"/>
          <w:szCs w:val="24"/>
        </w:rPr>
        <w:t>deciles</w:t>
      </w:r>
      <w:r w:rsidRPr="00274590">
        <w:rPr>
          <w:sz w:val="24"/>
          <w:szCs w:val="24"/>
        </w:rPr>
        <w:t xml:space="preserve"> by LSOA RUC classification. A</w:t>
      </w:r>
      <w:r w:rsidR="009112F6" w:rsidRPr="00274590">
        <w:rPr>
          <w:sz w:val="24"/>
          <w:szCs w:val="24"/>
        </w:rPr>
        <w:t xml:space="preserve"> number of </w:t>
      </w:r>
      <w:r w:rsidR="00C05FFC" w:rsidRPr="00274590">
        <w:rPr>
          <w:sz w:val="24"/>
          <w:szCs w:val="24"/>
        </w:rPr>
        <w:t xml:space="preserve">‘worsening’ shifts </w:t>
      </w:r>
      <w:r w:rsidR="009112F6" w:rsidRPr="00274590">
        <w:rPr>
          <w:sz w:val="24"/>
          <w:szCs w:val="24"/>
        </w:rPr>
        <w:t xml:space="preserve">of LSOAs </w:t>
      </w:r>
      <w:r w:rsidR="00C05FFC" w:rsidRPr="00274590">
        <w:rPr>
          <w:sz w:val="24"/>
          <w:szCs w:val="24"/>
        </w:rPr>
        <w:t xml:space="preserve">are located in </w:t>
      </w:r>
      <w:r w:rsidR="00154499" w:rsidRPr="00274590">
        <w:rPr>
          <w:sz w:val="24"/>
          <w:szCs w:val="24"/>
        </w:rPr>
        <w:t xml:space="preserve">the Boston, South Holland and North Kesteven </w:t>
      </w:r>
      <w:r w:rsidR="00154499" w:rsidRPr="00274590">
        <w:rPr>
          <w:sz w:val="24"/>
          <w:szCs w:val="24"/>
        </w:rPr>
        <w:lastRenderedPageBreak/>
        <w:t>local authorities</w:t>
      </w:r>
      <w:r w:rsidR="009112F6" w:rsidRPr="00274590">
        <w:rPr>
          <w:sz w:val="24"/>
          <w:szCs w:val="24"/>
        </w:rPr>
        <w:t xml:space="preserve">. These shifts involve both new ‘deprived’ LSOAs compared with the IMD and the ‘intensification’ of existing ones. Deprived LSOAs on the East Lindsey coast, on the other hand, are not, in most cases ‘worsened’ by their appearance in </w:t>
      </w:r>
      <w:r w:rsidRPr="00274590">
        <w:rPr>
          <w:sz w:val="24"/>
          <w:szCs w:val="24"/>
        </w:rPr>
        <w:t xml:space="preserve">the </w:t>
      </w:r>
      <w:r w:rsidR="009112F6" w:rsidRPr="00274590">
        <w:rPr>
          <w:sz w:val="24"/>
          <w:szCs w:val="24"/>
        </w:rPr>
        <w:t>RDI.</w:t>
      </w:r>
    </w:p>
    <w:p w:rsidR="006D612D" w:rsidRPr="00274590" w:rsidRDefault="006D612D" w:rsidP="000A58A5">
      <w:pPr>
        <w:pStyle w:val="ListParagraph"/>
        <w:ind w:left="121"/>
        <w:jc w:val="both"/>
        <w:rPr>
          <w:sz w:val="24"/>
          <w:szCs w:val="24"/>
        </w:rPr>
      </w:pPr>
    </w:p>
    <w:p w:rsidR="009112F6" w:rsidRPr="00274590" w:rsidRDefault="00FF7F7A" w:rsidP="000A58A5">
      <w:pPr>
        <w:pStyle w:val="ListParagraph"/>
        <w:ind w:left="121"/>
        <w:jc w:val="both"/>
        <w:rPr>
          <w:sz w:val="24"/>
          <w:szCs w:val="24"/>
        </w:rPr>
      </w:pPr>
      <w:r w:rsidRPr="00274590">
        <w:rPr>
          <w:sz w:val="24"/>
          <w:szCs w:val="24"/>
        </w:rPr>
        <w:t>Finally, a</w:t>
      </w:r>
      <w:r w:rsidR="009112F6" w:rsidRPr="00274590">
        <w:rPr>
          <w:sz w:val="24"/>
          <w:szCs w:val="24"/>
        </w:rPr>
        <w:t xml:space="preserve">s Table </w:t>
      </w:r>
      <w:r w:rsidRPr="00274590">
        <w:rPr>
          <w:sz w:val="24"/>
          <w:szCs w:val="24"/>
        </w:rPr>
        <w:t>5</w:t>
      </w:r>
      <w:r w:rsidR="009112F6" w:rsidRPr="00274590">
        <w:rPr>
          <w:sz w:val="24"/>
          <w:szCs w:val="24"/>
        </w:rPr>
        <w:t xml:space="preserve"> shows, there are 7 occurrences of LSOAs </w:t>
      </w:r>
      <w:r w:rsidRPr="00274590">
        <w:rPr>
          <w:sz w:val="24"/>
          <w:szCs w:val="24"/>
        </w:rPr>
        <w:t>becoming ‘less deprived’ between the IMD and the RDI,</w:t>
      </w:r>
      <w:r w:rsidR="009112F6" w:rsidRPr="00274590">
        <w:rPr>
          <w:sz w:val="24"/>
          <w:szCs w:val="24"/>
        </w:rPr>
        <w:t xml:space="preserve"> </w:t>
      </w:r>
      <w:r w:rsidR="00CD74C6" w:rsidRPr="00274590">
        <w:rPr>
          <w:sz w:val="24"/>
          <w:szCs w:val="24"/>
        </w:rPr>
        <w:t xml:space="preserve">6 of which are classified as ‘Urban City and Town’. Five of these are within the Lincoln Built </w:t>
      </w:r>
      <w:proofErr w:type="gramStart"/>
      <w:r w:rsidR="00CD74C6" w:rsidRPr="00274590">
        <w:rPr>
          <w:sz w:val="24"/>
          <w:szCs w:val="24"/>
        </w:rPr>
        <w:t>Up</w:t>
      </w:r>
      <w:proofErr w:type="gramEnd"/>
      <w:r w:rsidR="00CD74C6" w:rsidRPr="00274590">
        <w:rPr>
          <w:sz w:val="24"/>
          <w:szCs w:val="24"/>
        </w:rPr>
        <w:t xml:space="preserve"> Area (</w:t>
      </w:r>
      <w:r w:rsidR="00BD4D28" w:rsidRPr="00274590">
        <w:rPr>
          <w:sz w:val="24"/>
          <w:szCs w:val="24"/>
        </w:rPr>
        <w:t>Map L3)</w:t>
      </w:r>
      <w:r w:rsidR="00CD74C6" w:rsidRPr="00274590">
        <w:rPr>
          <w:sz w:val="24"/>
          <w:szCs w:val="24"/>
        </w:rPr>
        <w:t>.</w:t>
      </w:r>
    </w:p>
    <w:p w:rsidR="00CD74C6" w:rsidRPr="00274590" w:rsidRDefault="00CD74C6" w:rsidP="000A58A5">
      <w:pPr>
        <w:pStyle w:val="ListParagraph"/>
        <w:ind w:left="121"/>
        <w:jc w:val="both"/>
        <w:rPr>
          <w:sz w:val="24"/>
          <w:szCs w:val="24"/>
        </w:rPr>
      </w:pPr>
    </w:p>
    <w:p w:rsidR="007A595F" w:rsidRPr="00274590" w:rsidRDefault="00BD4D28" w:rsidP="000A58A5">
      <w:pPr>
        <w:spacing w:after="0"/>
        <w:jc w:val="both"/>
        <w:rPr>
          <w:b/>
          <w:sz w:val="24"/>
          <w:szCs w:val="24"/>
        </w:rPr>
      </w:pPr>
      <w:r w:rsidRPr="00274590">
        <w:rPr>
          <w:b/>
          <w:sz w:val="24"/>
          <w:szCs w:val="24"/>
        </w:rPr>
        <w:t>C</w:t>
      </w:r>
      <w:r w:rsidR="00BB0B5E" w:rsidRPr="00274590">
        <w:rPr>
          <w:b/>
          <w:sz w:val="24"/>
          <w:szCs w:val="24"/>
        </w:rPr>
        <w:t>ase Study</w:t>
      </w:r>
      <w:r w:rsidR="007A595F" w:rsidRPr="00274590">
        <w:rPr>
          <w:b/>
          <w:sz w:val="24"/>
          <w:szCs w:val="24"/>
        </w:rPr>
        <w:t xml:space="preserve"> 2:  </w:t>
      </w:r>
      <w:r w:rsidR="00BB0B5E" w:rsidRPr="00274590">
        <w:rPr>
          <w:b/>
          <w:sz w:val="24"/>
          <w:szCs w:val="24"/>
        </w:rPr>
        <w:t xml:space="preserve">The County of </w:t>
      </w:r>
      <w:r w:rsidR="007A595F" w:rsidRPr="00274590">
        <w:rPr>
          <w:b/>
          <w:sz w:val="24"/>
          <w:szCs w:val="24"/>
        </w:rPr>
        <w:t xml:space="preserve">Norfolk </w:t>
      </w:r>
    </w:p>
    <w:p w:rsidR="0003380D" w:rsidRPr="00274590" w:rsidRDefault="0003380D" w:rsidP="000A58A5">
      <w:pPr>
        <w:spacing w:after="0"/>
        <w:jc w:val="both"/>
        <w:rPr>
          <w:b/>
          <w:sz w:val="24"/>
          <w:szCs w:val="24"/>
        </w:rPr>
      </w:pPr>
    </w:p>
    <w:p w:rsidR="00EF4743" w:rsidRPr="00274590" w:rsidRDefault="00EF4743" w:rsidP="000A58A5">
      <w:pPr>
        <w:jc w:val="both"/>
        <w:rPr>
          <w:b/>
          <w:sz w:val="24"/>
          <w:szCs w:val="24"/>
        </w:rPr>
      </w:pPr>
      <w:r w:rsidRPr="00274590">
        <w:rPr>
          <w:b/>
          <w:sz w:val="24"/>
          <w:szCs w:val="24"/>
        </w:rPr>
        <w:t xml:space="preserve">Table 6 Norfolk: </w:t>
      </w:r>
      <w:r w:rsidR="004B4D8E" w:rsidRPr="00274590">
        <w:rPr>
          <w:b/>
          <w:sz w:val="24"/>
          <w:szCs w:val="24"/>
        </w:rPr>
        <w:t xml:space="preserve">The </w:t>
      </w:r>
      <w:r w:rsidRPr="00274590">
        <w:rPr>
          <w:b/>
          <w:sz w:val="24"/>
          <w:szCs w:val="24"/>
        </w:rPr>
        <w:t>Distribution of Numbers and Population of LSOAs by Rural Definition</w:t>
      </w:r>
    </w:p>
    <w:p w:rsidR="007A595F" w:rsidRPr="00274590" w:rsidRDefault="00B25817" w:rsidP="000A58A5">
      <w:pPr>
        <w:pStyle w:val="ListParagraph"/>
        <w:ind w:left="121"/>
        <w:jc w:val="both"/>
        <w:rPr>
          <w:sz w:val="24"/>
          <w:szCs w:val="24"/>
        </w:rPr>
      </w:pPr>
      <w:r w:rsidRPr="00274590">
        <w:rPr>
          <w:noProof/>
          <w:sz w:val="24"/>
          <w:szCs w:val="24"/>
          <w:lang w:eastAsia="en-GB"/>
        </w:rPr>
        <w:drawing>
          <wp:inline distT="0" distB="0" distL="0" distR="0">
            <wp:extent cx="4563112" cy="138131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63112" cy="1381318"/>
                    </a:xfrm>
                    <a:prstGeom prst="rect">
                      <a:avLst/>
                    </a:prstGeom>
                  </pic:spPr>
                </pic:pic>
              </a:graphicData>
            </a:graphic>
          </wp:inline>
        </w:drawing>
      </w:r>
    </w:p>
    <w:p w:rsidR="0092599E" w:rsidRPr="00274590" w:rsidRDefault="0092599E" w:rsidP="000A58A5">
      <w:pPr>
        <w:jc w:val="both"/>
        <w:rPr>
          <w:b/>
          <w:sz w:val="24"/>
          <w:szCs w:val="24"/>
        </w:rPr>
      </w:pPr>
      <w:r w:rsidRPr="00274590">
        <w:rPr>
          <w:b/>
          <w:sz w:val="24"/>
          <w:szCs w:val="24"/>
        </w:rPr>
        <w:t>Key point:</w:t>
      </w:r>
    </w:p>
    <w:p w:rsidR="0092599E" w:rsidRPr="00274590" w:rsidRDefault="008C37CB" w:rsidP="000A58A5">
      <w:pPr>
        <w:pStyle w:val="ListParagraph"/>
        <w:numPr>
          <w:ilvl w:val="0"/>
          <w:numId w:val="5"/>
        </w:numPr>
        <w:ind w:left="426" w:hanging="426"/>
        <w:jc w:val="both"/>
        <w:rPr>
          <w:sz w:val="24"/>
          <w:szCs w:val="24"/>
        </w:rPr>
      </w:pPr>
      <w:proofErr w:type="gramStart"/>
      <w:r w:rsidRPr="00274590">
        <w:rPr>
          <w:sz w:val="24"/>
          <w:szCs w:val="24"/>
        </w:rPr>
        <w:t>a</w:t>
      </w:r>
      <w:proofErr w:type="gramEnd"/>
      <w:r w:rsidRPr="00274590">
        <w:rPr>
          <w:sz w:val="24"/>
          <w:szCs w:val="24"/>
        </w:rPr>
        <w:t xml:space="preserve"> </w:t>
      </w:r>
      <w:r w:rsidR="0094356E" w:rsidRPr="00274590">
        <w:rPr>
          <w:sz w:val="24"/>
          <w:szCs w:val="24"/>
        </w:rPr>
        <w:t xml:space="preserve">small </w:t>
      </w:r>
      <w:r w:rsidRPr="00274590">
        <w:rPr>
          <w:sz w:val="24"/>
          <w:szCs w:val="24"/>
        </w:rPr>
        <w:t xml:space="preserve">majority of the </w:t>
      </w:r>
      <w:r w:rsidR="00B43934" w:rsidRPr="00274590">
        <w:rPr>
          <w:sz w:val="24"/>
          <w:szCs w:val="24"/>
        </w:rPr>
        <w:t>rural population of Norfolk</w:t>
      </w:r>
      <w:r w:rsidR="0092599E" w:rsidRPr="00274590">
        <w:rPr>
          <w:sz w:val="24"/>
          <w:szCs w:val="24"/>
        </w:rPr>
        <w:t xml:space="preserve"> </w:t>
      </w:r>
      <w:r w:rsidR="0063465C" w:rsidRPr="00274590">
        <w:rPr>
          <w:sz w:val="24"/>
          <w:szCs w:val="24"/>
        </w:rPr>
        <w:t xml:space="preserve">is situated </w:t>
      </w:r>
      <w:r w:rsidR="0092599E" w:rsidRPr="00274590">
        <w:rPr>
          <w:sz w:val="24"/>
          <w:szCs w:val="24"/>
        </w:rPr>
        <w:t xml:space="preserve">in </w:t>
      </w:r>
      <w:r w:rsidR="0063465C" w:rsidRPr="00274590">
        <w:rPr>
          <w:sz w:val="24"/>
          <w:szCs w:val="24"/>
        </w:rPr>
        <w:t xml:space="preserve">LSOAs </w:t>
      </w:r>
      <w:r w:rsidR="00CD701D" w:rsidRPr="00274590">
        <w:rPr>
          <w:sz w:val="24"/>
          <w:szCs w:val="24"/>
        </w:rPr>
        <w:t>classified as Rural Village and Dispersed.</w:t>
      </w:r>
    </w:p>
    <w:p w:rsidR="0092599E" w:rsidRPr="00274590" w:rsidRDefault="0092599E" w:rsidP="000A58A5">
      <w:pPr>
        <w:pStyle w:val="ListParagraph"/>
        <w:ind w:left="121"/>
        <w:jc w:val="both"/>
        <w:rPr>
          <w:sz w:val="24"/>
          <w:szCs w:val="24"/>
        </w:rPr>
      </w:pPr>
    </w:p>
    <w:p w:rsidR="00F946B4" w:rsidRPr="00274590" w:rsidRDefault="00EB540B" w:rsidP="000A58A5">
      <w:pPr>
        <w:jc w:val="both"/>
        <w:rPr>
          <w:b/>
          <w:sz w:val="24"/>
          <w:szCs w:val="24"/>
        </w:rPr>
      </w:pPr>
      <w:r w:rsidRPr="00274590">
        <w:rPr>
          <w:b/>
          <w:sz w:val="24"/>
          <w:szCs w:val="24"/>
        </w:rPr>
        <w:t xml:space="preserve">   </w:t>
      </w:r>
      <w:r w:rsidR="00F946B4" w:rsidRPr="00274590">
        <w:rPr>
          <w:b/>
          <w:sz w:val="24"/>
          <w:szCs w:val="24"/>
        </w:rPr>
        <w:t xml:space="preserve">Table 7 Norfolk: </w:t>
      </w:r>
      <w:r w:rsidR="004B4D8E" w:rsidRPr="00274590">
        <w:rPr>
          <w:b/>
          <w:sz w:val="24"/>
          <w:szCs w:val="24"/>
        </w:rPr>
        <w:t xml:space="preserve">The </w:t>
      </w:r>
      <w:r w:rsidR="00F946B4" w:rsidRPr="00274590">
        <w:rPr>
          <w:b/>
          <w:sz w:val="24"/>
          <w:szCs w:val="24"/>
        </w:rPr>
        <w:t xml:space="preserve">Distribution of IMD 2019 LSOA Ranks by Settlement Type </w:t>
      </w:r>
    </w:p>
    <w:p w:rsidR="00362D70" w:rsidRPr="00274590" w:rsidRDefault="00B25817" w:rsidP="000A58A5">
      <w:pPr>
        <w:pStyle w:val="ListParagraph"/>
        <w:ind w:left="121"/>
        <w:jc w:val="both"/>
        <w:rPr>
          <w:sz w:val="24"/>
          <w:szCs w:val="24"/>
        </w:rPr>
      </w:pPr>
      <w:r w:rsidRPr="00274590">
        <w:rPr>
          <w:noProof/>
          <w:sz w:val="24"/>
          <w:szCs w:val="24"/>
          <w:lang w:eastAsia="en-GB"/>
        </w:rPr>
        <w:drawing>
          <wp:inline distT="0" distB="0" distL="0" distR="0">
            <wp:extent cx="5544324" cy="166710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544324" cy="1667108"/>
                    </a:xfrm>
                    <a:prstGeom prst="rect">
                      <a:avLst/>
                    </a:prstGeom>
                  </pic:spPr>
                </pic:pic>
              </a:graphicData>
            </a:graphic>
          </wp:inline>
        </w:drawing>
      </w:r>
    </w:p>
    <w:p w:rsidR="001C0D25" w:rsidRPr="00274590" w:rsidRDefault="001C0D25" w:rsidP="000A58A5">
      <w:pPr>
        <w:pStyle w:val="ListParagraph"/>
        <w:ind w:left="121"/>
        <w:jc w:val="both"/>
        <w:rPr>
          <w:b/>
          <w:sz w:val="24"/>
          <w:szCs w:val="24"/>
        </w:rPr>
      </w:pPr>
      <w:r w:rsidRPr="00274590">
        <w:rPr>
          <w:b/>
          <w:sz w:val="24"/>
          <w:szCs w:val="24"/>
        </w:rPr>
        <w:t>Key points</w:t>
      </w:r>
    </w:p>
    <w:p w:rsidR="001C0D25" w:rsidRPr="00274590" w:rsidRDefault="001C0D25" w:rsidP="000A58A5">
      <w:pPr>
        <w:pStyle w:val="ListParagraph"/>
        <w:ind w:left="121"/>
        <w:jc w:val="both"/>
        <w:rPr>
          <w:sz w:val="24"/>
          <w:szCs w:val="24"/>
        </w:rPr>
      </w:pPr>
    </w:p>
    <w:p w:rsidR="001C0D25" w:rsidRPr="00274590" w:rsidRDefault="001C0D25" w:rsidP="000A58A5">
      <w:pPr>
        <w:pStyle w:val="ListParagraph"/>
        <w:numPr>
          <w:ilvl w:val="0"/>
          <w:numId w:val="5"/>
        </w:numPr>
        <w:ind w:left="426" w:hanging="426"/>
        <w:jc w:val="both"/>
        <w:rPr>
          <w:sz w:val="24"/>
          <w:szCs w:val="24"/>
        </w:rPr>
      </w:pPr>
      <w:r w:rsidRPr="00274590">
        <w:rPr>
          <w:sz w:val="24"/>
          <w:szCs w:val="24"/>
        </w:rPr>
        <w:t xml:space="preserve">the IMD identifies </w:t>
      </w:r>
      <w:r w:rsidR="00001E3A" w:rsidRPr="00274590">
        <w:rPr>
          <w:sz w:val="24"/>
          <w:szCs w:val="24"/>
        </w:rPr>
        <w:t>10</w:t>
      </w:r>
      <w:r w:rsidRPr="00274590">
        <w:rPr>
          <w:sz w:val="24"/>
          <w:szCs w:val="24"/>
        </w:rPr>
        <w:t xml:space="preserve"> </w:t>
      </w:r>
      <w:r w:rsidR="009D7D27" w:rsidRPr="00274590">
        <w:rPr>
          <w:sz w:val="24"/>
          <w:szCs w:val="24"/>
        </w:rPr>
        <w:t>out of 271</w:t>
      </w:r>
      <w:r w:rsidR="00001E3A" w:rsidRPr="00274590">
        <w:rPr>
          <w:sz w:val="24"/>
          <w:szCs w:val="24"/>
        </w:rPr>
        <w:t xml:space="preserve"> rural</w:t>
      </w:r>
      <w:r w:rsidR="009D7D27" w:rsidRPr="00274590">
        <w:rPr>
          <w:sz w:val="24"/>
          <w:szCs w:val="24"/>
        </w:rPr>
        <w:t xml:space="preserve"> </w:t>
      </w:r>
      <w:r w:rsidRPr="00274590">
        <w:rPr>
          <w:sz w:val="24"/>
          <w:szCs w:val="24"/>
        </w:rPr>
        <w:t xml:space="preserve">LSOAs </w:t>
      </w:r>
      <w:r w:rsidR="009D7D27" w:rsidRPr="00274590">
        <w:rPr>
          <w:sz w:val="24"/>
          <w:szCs w:val="24"/>
        </w:rPr>
        <w:t xml:space="preserve">as being </w:t>
      </w:r>
      <w:r w:rsidRPr="00274590">
        <w:rPr>
          <w:sz w:val="24"/>
          <w:szCs w:val="24"/>
        </w:rPr>
        <w:t>in the top two deciles of deprivation and 1 in the most deprived decile</w:t>
      </w:r>
      <w:r w:rsidR="009D7D27" w:rsidRPr="00274590">
        <w:rPr>
          <w:sz w:val="24"/>
          <w:szCs w:val="24"/>
        </w:rPr>
        <w:t>,</w:t>
      </w:r>
    </w:p>
    <w:p w:rsidR="00001E3A" w:rsidRPr="00274590" w:rsidRDefault="00001E3A" w:rsidP="000A58A5">
      <w:pPr>
        <w:pStyle w:val="ListParagraph"/>
        <w:numPr>
          <w:ilvl w:val="0"/>
          <w:numId w:val="5"/>
        </w:numPr>
        <w:ind w:left="426" w:hanging="426"/>
        <w:jc w:val="both"/>
        <w:rPr>
          <w:sz w:val="24"/>
          <w:szCs w:val="24"/>
        </w:rPr>
      </w:pPr>
      <w:r w:rsidRPr="00274590">
        <w:rPr>
          <w:sz w:val="24"/>
          <w:szCs w:val="24"/>
        </w:rPr>
        <w:t>although small in number Rural Town and Fringe LSOAs occur most among rural ‘most deprived’ LSOAs,</w:t>
      </w:r>
    </w:p>
    <w:p w:rsidR="001C0D25" w:rsidRPr="00274590" w:rsidRDefault="001C0D25" w:rsidP="000A58A5">
      <w:pPr>
        <w:pStyle w:val="ListParagraph"/>
        <w:numPr>
          <w:ilvl w:val="0"/>
          <w:numId w:val="5"/>
        </w:numPr>
        <w:ind w:left="426" w:hanging="426"/>
        <w:jc w:val="both"/>
        <w:rPr>
          <w:sz w:val="24"/>
          <w:szCs w:val="24"/>
        </w:rPr>
      </w:pPr>
      <w:proofErr w:type="gramStart"/>
      <w:r w:rsidRPr="00274590">
        <w:rPr>
          <w:sz w:val="24"/>
          <w:szCs w:val="24"/>
        </w:rPr>
        <w:t>just</w:t>
      </w:r>
      <w:proofErr w:type="gramEnd"/>
      <w:r w:rsidRPr="00274590">
        <w:rPr>
          <w:sz w:val="24"/>
          <w:szCs w:val="24"/>
        </w:rPr>
        <w:t xml:space="preserve"> under three quarters (71 percent) of </w:t>
      </w:r>
      <w:r w:rsidR="009D7D27" w:rsidRPr="00274590">
        <w:rPr>
          <w:sz w:val="24"/>
          <w:szCs w:val="24"/>
        </w:rPr>
        <w:t>‘</w:t>
      </w:r>
      <w:r w:rsidRPr="00274590">
        <w:rPr>
          <w:sz w:val="24"/>
          <w:szCs w:val="24"/>
        </w:rPr>
        <w:t>most deprived</w:t>
      </w:r>
      <w:r w:rsidR="009D7D27" w:rsidRPr="00274590">
        <w:rPr>
          <w:sz w:val="24"/>
          <w:szCs w:val="24"/>
        </w:rPr>
        <w:t>’</w:t>
      </w:r>
      <w:r w:rsidRPr="00274590">
        <w:rPr>
          <w:sz w:val="24"/>
          <w:szCs w:val="24"/>
        </w:rPr>
        <w:t xml:space="preserve"> LSOAs are </w:t>
      </w:r>
      <w:r w:rsidR="004537DC" w:rsidRPr="00274590">
        <w:rPr>
          <w:sz w:val="24"/>
          <w:szCs w:val="24"/>
        </w:rPr>
        <w:t xml:space="preserve">in the </w:t>
      </w:r>
      <w:r w:rsidRPr="00274590">
        <w:rPr>
          <w:sz w:val="24"/>
          <w:szCs w:val="24"/>
        </w:rPr>
        <w:t>Urban City and Town</w:t>
      </w:r>
      <w:r w:rsidR="004537DC" w:rsidRPr="00274590">
        <w:rPr>
          <w:sz w:val="24"/>
          <w:szCs w:val="24"/>
        </w:rPr>
        <w:t xml:space="preserve"> category.</w:t>
      </w:r>
    </w:p>
    <w:p w:rsidR="00274590" w:rsidRDefault="00274590">
      <w:pPr>
        <w:rPr>
          <w:b/>
          <w:sz w:val="24"/>
          <w:szCs w:val="24"/>
        </w:rPr>
      </w:pPr>
      <w:r>
        <w:rPr>
          <w:b/>
          <w:sz w:val="24"/>
          <w:szCs w:val="24"/>
        </w:rPr>
        <w:br w:type="page"/>
      </w:r>
    </w:p>
    <w:p w:rsidR="00F946B4" w:rsidRPr="00274590" w:rsidRDefault="00F946B4" w:rsidP="000A58A5">
      <w:pPr>
        <w:jc w:val="both"/>
        <w:rPr>
          <w:b/>
          <w:sz w:val="24"/>
          <w:szCs w:val="24"/>
        </w:rPr>
      </w:pPr>
      <w:r w:rsidRPr="00274590">
        <w:rPr>
          <w:b/>
          <w:sz w:val="24"/>
          <w:szCs w:val="24"/>
        </w:rPr>
        <w:lastRenderedPageBreak/>
        <w:t xml:space="preserve">Table </w:t>
      </w:r>
      <w:r w:rsidR="004B4D8E" w:rsidRPr="00274590">
        <w:rPr>
          <w:b/>
          <w:sz w:val="24"/>
          <w:szCs w:val="24"/>
        </w:rPr>
        <w:t>8 Norfolk</w:t>
      </w:r>
      <w:r w:rsidRPr="00274590">
        <w:rPr>
          <w:b/>
          <w:sz w:val="24"/>
          <w:szCs w:val="24"/>
        </w:rPr>
        <w:t xml:space="preserve">: The Distribution of RDI LSOA Ranks by Settlement Type </w:t>
      </w:r>
    </w:p>
    <w:p w:rsidR="00EB540B" w:rsidRPr="00274590" w:rsidRDefault="00EB540B" w:rsidP="000A58A5">
      <w:pPr>
        <w:jc w:val="both"/>
        <w:rPr>
          <w:b/>
          <w:sz w:val="24"/>
          <w:szCs w:val="24"/>
        </w:rPr>
      </w:pPr>
      <w:r w:rsidRPr="00274590">
        <w:rPr>
          <w:b/>
          <w:noProof/>
          <w:sz w:val="24"/>
          <w:szCs w:val="24"/>
          <w:lang w:eastAsia="en-GB"/>
        </w:rPr>
        <w:drawing>
          <wp:inline distT="0" distB="0" distL="0" distR="0">
            <wp:extent cx="5439534" cy="1486107"/>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439534" cy="1486107"/>
                    </a:xfrm>
                    <a:prstGeom prst="rect">
                      <a:avLst/>
                    </a:prstGeom>
                  </pic:spPr>
                </pic:pic>
              </a:graphicData>
            </a:graphic>
          </wp:inline>
        </w:drawing>
      </w:r>
    </w:p>
    <w:p w:rsidR="001C0D25" w:rsidRPr="00274590" w:rsidRDefault="001C0D25" w:rsidP="000A58A5">
      <w:pPr>
        <w:jc w:val="both"/>
        <w:rPr>
          <w:b/>
          <w:sz w:val="24"/>
          <w:szCs w:val="24"/>
        </w:rPr>
      </w:pPr>
      <w:r w:rsidRPr="00274590">
        <w:rPr>
          <w:b/>
          <w:sz w:val="24"/>
          <w:szCs w:val="24"/>
        </w:rPr>
        <w:t xml:space="preserve"> Key points:</w:t>
      </w:r>
    </w:p>
    <w:p w:rsidR="001C0D25" w:rsidRPr="00274590" w:rsidRDefault="001C0D25" w:rsidP="000A58A5">
      <w:pPr>
        <w:pStyle w:val="ListParagraph"/>
        <w:numPr>
          <w:ilvl w:val="0"/>
          <w:numId w:val="6"/>
        </w:numPr>
        <w:ind w:left="709" w:hanging="567"/>
        <w:jc w:val="both"/>
        <w:rPr>
          <w:sz w:val="24"/>
          <w:szCs w:val="24"/>
        </w:rPr>
      </w:pPr>
      <w:r w:rsidRPr="00274590">
        <w:rPr>
          <w:sz w:val="24"/>
          <w:szCs w:val="24"/>
        </w:rPr>
        <w:t xml:space="preserve">the RDI increases the number of LSOAs in the </w:t>
      </w:r>
      <w:r w:rsidR="004537DC" w:rsidRPr="00274590">
        <w:rPr>
          <w:sz w:val="24"/>
          <w:szCs w:val="24"/>
        </w:rPr>
        <w:t xml:space="preserve">two </w:t>
      </w:r>
      <w:r w:rsidRPr="00274590">
        <w:rPr>
          <w:sz w:val="24"/>
          <w:szCs w:val="24"/>
        </w:rPr>
        <w:t>most deprived deciles from 9 to 75,</w:t>
      </w:r>
    </w:p>
    <w:p w:rsidR="001C0D25" w:rsidRPr="00274590" w:rsidRDefault="004537DC" w:rsidP="000A58A5">
      <w:pPr>
        <w:pStyle w:val="ListParagraph"/>
        <w:numPr>
          <w:ilvl w:val="0"/>
          <w:numId w:val="6"/>
        </w:numPr>
        <w:ind w:left="709" w:hanging="567"/>
        <w:jc w:val="both"/>
        <w:rPr>
          <w:sz w:val="24"/>
          <w:szCs w:val="24"/>
        </w:rPr>
      </w:pPr>
      <w:r w:rsidRPr="00274590">
        <w:rPr>
          <w:sz w:val="24"/>
          <w:szCs w:val="24"/>
        </w:rPr>
        <w:t>there is an increase of 35 ‘most deprived’ LSOAs among Rural Town and Fringe LSOAs and an increase of 30 in Rural Village and Dispersed LSOAs,</w:t>
      </w:r>
    </w:p>
    <w:p w:rsidR="001C0D25" w:rsidRPr="00274590" w:rsidRDefault="001C0D25" w:rsidP="000A58A5">
      <w:pPr>
        <w:pStyle w:val="ListParagraph"/>
        <w:numPr>
          <w:ilvl w:val="0"/>
          <w:numId w:val="6"/>
        </w:numPr>
        <w:ind w:left="709" w:hanging="567"/>
        <w:jc w:val="both"/>
        <w:rPr>
          <w:sz w:val="24"/>
          <w:szCs w:val="24"/>
        </w:rPr>
      </w:pPr>
      <w:r w:rsidRPr="00274590">
        <w:rPr>
          <w:sz w:val="24"/>
          <w:szCs w:val="24"/>
        </w:rPr>
        <w:t xml:space="preserve">the number of Urban City and Town LSOAs in the top two deciles is increased </w:t>
      </w:r>
      <w:r w:rsidR="009D7D27" w:rsidRPr="00274590">
        <w:rPr>
          <w:sz w:val="24"/>
          <w:szCs w:val="24"/>
        </w:rPr>
        <w:t xml:space="preserve">from 68 to </w:t>
      </w:r>
      <w:r w:rsidR="00CA1FE9" w:rsidRPr="00274590">
        <w:rPr>
          <w:sz w:val="24"/>
          <w:szCs w:val="24"/>
        </w:rPr>
        <w:t xml:space="preserve">93 </w:t>
      </w:r>
      <w:r w:rsidRPr="00274590">
        <w:rPr>
          <w:sz w:val="24"/>
          <w:szCs w:val="24"/>
        </w:rPr>
        <w:t>under the RDI,</w:t>
      </w:r>
    </w:p>
    <w:p w:rsidR="001C0D25" w:rsidRPr="00274590" w:rsidRDefault="001C0D25" w:rsidP="000A58A5">
      <w:pPr>
        <w:pStyle w:val="ListParagraph"/>
        <w:numPr>
          <w:ilvl w:val="0"/>
          <w:numId w:val="6"/>
        </w:numPr>
        <w:ind w:left="709" w:hanging="567"/>
        <w:jc w:val="both"/>
        <w:rPr>
          <w:sz w:val="24"/>
          <w:szCs w:val="24"/>
        </w:rPr>
      </w:pPr>
      <w:r w:rsidRPr="00274590">
        <w:rPr>
          <w:sz w:val="24"/>
          <w:szCs w:val="24"/>
        </w:rPr>
        <w:t>there is a marked shift from ‘less’ to ‘more’ deprived quintiles across all three rural</w:t>
      </w:r>
      <w:r w:rsidR="00BD4D28" w:rsidRPr="00274590">
        <w:rPr>
          <w:sz w:val="24"/>
          <w:szCs w:val="24"/>
        </w:rPr>
        <w:t xml:space="preserve"> and </w:t>
      </w:r>
      <w:r w:rsidRPr="00274590">
        <w:rPr>
          <w:sz w:val="24"/>
          <w:szCs w:val="24"/>
        </w:rPr>
        <w:t>urban categories</w:t>
      </w:r>
      <w:r w:rsidR="00CA1FE9" w:rsidRPr="00274590">
        <w:rPr>
          <w:sz w:val="24"/>
          <w:szCs w:val="24"/>
        </w:rPr>
        <w:t>,</w:t>
      </w:r>
    </w:p>
    <w:p w:rsidR="00CA1FE9" w:rsidRPr="00274590" w:rsidRDefault="006306EE" w:rsidP="000A58A5">
      <w:pPr>
        <w:pStyle w:val="ListParagraph"/>
        <w:numPr>
          <w:ilvl w:val="0"/>
          <w:numId w:val="6"/>
        </w:numPr>
        <w:ind w:left="709" w:hanging="567"/>
        <w:jc w:val="both"/>
        <w:rPr>
          <w:sz w:val="24"/>
          <w:szCs w:val="24"/>
        </w:rPr>
      </w:pPr>
      <w:proofErr w:type="gramStart"/>
      <w:r w:rsidRPr="00274590">
        <w:rPr>
          <w:sz w:val="24"/>
          <w:szCs w:val="24"/>
        </w:rPr>
        <w:t>the</w:t>
      </w:r>
      <w:proofErr w:type="gramEnd"/>
      <w:r w:rsidRPr="00274590">
        <w:rPr>
          <w:sz w:val="24"/>
          <w:szCs w:val="24"/>
        </w:rPr>
        <w:t xml:space="preserve"> majority of the increase in ‘most deprived’ LSOAs occurs in the west of the county with some in the coastal east (</w:t>
      </w:r>
      <w:r w:rsidR="00BD4D28" w:rsidRPr="00274590">
        <w:rPr>
          <w:sz w:val="24"/>
          <w:szCs w:val="24"/>
        </w:rPr>
        <w:t>Maps N1 and N2</w:t>
      </w:r>
      <w:r w:rsidRPr="00274590">
        <w:rPr>
          <w:sz w:val="24"/>
          <w:szCs w:val="24"/>
        </w:rPr>
        <w:t>)</w:t>
      </w:r>
      <w:r w:rsidR="00832916" w:rsidRPr="00274590">
        <w:rPr>
          <w:sz w:val="24"/>
          <w:szCs w:val="24"/>
        </w:rPr>
        <w:t>.</w:t>
      </w:r>
    </w:p>
    <w:p w:rsidR="00BD4D28" w:rsidRPr="00274590" w:rsidRDefault="00BD4D28" w:rsidP="000A58A5">
      <w:pPr>
        <w:pStyle w:val="ListParagraph"/>
        <w:ind w:left="709"/>
        <w:jc w:val="both"/>
        <w:rPr>
          <w:sz w:val="24"/>
          <w:szCs w:val="24"/>
        </w:rPr>
      </w:pPr>
    </w:p>
    <w:p w:rsidR="0003380D" w:rsidRPr="00274590" w:rsidRDefault="0003380D" w:rsidP="000A58A5">
      <w:pPr>
        <w:pStyle w:val="ListParagraph"/>
        <w:ind w:left="121"/>
        <w:jc w:val="both"/>
        <w:rPr>
          <w:b/>
          <w:sz w:val="24"/>
          <w:szCs w:val="24"/>
        </w:rPr>
      </w:pPr>
    </w:p>
    <w:p w:rsidR="00375C77" w:rsidRPr="00274590" w:rsidRDefault="00375C77" w:rsidP="000A58A5">
      <w:pPr>
        <w:pStyle w:val="ListParagraph"/>
        <w:ind w:left="121"/>
        <w:jc w:val="both"/>
        <w:rPr>
          <w:b/>
          <w:sz w:val="24"/>
          <w:szCs w:val="24"/>
        </w:rPr>
      </w:pPr>
      <w:r w:rsidRPr="00274590">
        <w:rPr>
          <w:b/>
          <w:sz w:val="24"/>
          <w:szCs w:val="24"/>
        </w:rPr>
        <w:t xml:space="preserve">Table 9 Norfolk: Significant Shifts </w:t>
      </w:r>
      <w:r w:rsidR="00292039" w:rsidRPr="00274590">
        <w:rPr>
          <w:b/>
          <w:sz w:val="24"/>
          <w:szCs w:val="24"/>
        </w:rPr>
        <w:t xml:space="preserve">in Deciles </w:t>
      </w:r>
      <w:r w:rsidRPr="00274590">
        <w:rPr>
          <w:b/>
          <w:sz w:val="24"/>
          <w:szCs w:val="24"/>
        </w:rPr>
        <w:t xml:space="preserve">from IMD to RDI </w:t>
      </w:r>
    </w:p>
    <w:p w:rsidR="00292039" w:rsidRPr="00274590" w:rsidRDefault="00292039" w:rsidP="000A58A5">
      <w:pPr>
        <w:pStyle w:val="ListParagraph"/>
        <w:ind w:left="121"/>
        <w:jc w:val="both"/>
        <w:rPr>
          <w:b/>
          <w:sz w:val="24"/>
          <w:szCs w:val="24"/>
        </w:rPr>
      </w:pPr>
    </w:p>
    <w:p w:rsidR="008232F8" w:rsidRPr="00274590" w:rsidRDefault="002F4A72" w:rsidP="000A58A5">
      <w:pPr>
        <w:pStyle w:val="ListParagraph"/>
        <w:ind w:left="121"/>
        <w:jc w:val="both"/>
        <w:rPr>
          <w:b/>
          <w:sz w:val="24"/>
          <w:szCs w:val="24"/>
        </w:rPr>
      </w:pPr>
      <w:r w:rsidRPr="00274590">
        <w:rPr>
          <w:b/>
          <w:noProof/>
          <w:sz w:val="24"/>
          <w:szCs w:val="24"/>
          <w:lang w:eastAsia="en-GB"/>
        </w:rPr>
        <w:drawing>
          <wp:inline distT="0" distB="0" distL="0" distR="0">
            <wp:extent cx="5725324" cy="142894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25324" cy="1428949"/>
                    </a:xfrm>
                    <a:prstGeom prst="rect">
                      <a:avLst/>
                    </a:prstGeom>
                  </pic:spPr>
                </pic:pic>
              </a:graphicData>
            </a:graphic>
          </wp:inline>
        </w:drawing>
      </w:r>
    </w:p>
    <w:p w:rsidR="0003380D" w:rsidRPr="00274590" w:rsidRDefault="0003380D" w:rsidP="000A58A5">
      <w:pPr>
        <w:pStyle w:val="ListParagraph"/>
        <w:ind w:left="121"/>
        <w:jc w:val="both"/>
        <w:rPr>
          <w:b/>
          <w:sz w:val="24"/>
          <w:szCs w:val="24"/>
        </w:rPr>
      </w:pPr>
    </w:p>
    <w:p w:rsidR="001C0D25" w:rsidRPr="00274590" w:rsidRDefault="001C0D25" w:rsidP="000A58A5">
      <w:pPr>
        <w:pStyle w:val="ListParagraph"/>
        <w:ind w:left="121"/>
        <w:jc w:val="both"/>
        <w:rPr>
          <w:b/>
          <w:sz w:val="24"/>
          <w:szCs w:val="24"/>
        </w:rPr>
      </w:pPr>
      <w:r w:rsidRPr="00274590">
        <w:rPr>
          <w:b/>
          <w:sz w:val="24"/>
          <w:szCs w:val="24"/>
        </w:rPr>
        <w:t>Key points:</w:t>
      </w:r>
    </w:p>
    <w:p w:rsidR="001C0D25" w:rsidRPr="00274590" w:rsidRDefault="001C0D25" w:rsidP="000A58A5">
      <w:pPr>
        <w:pStyle w:val="ListParagraph"/>
        <w:ind w:left="121"/>
        <w:jc w:val="both"/>
        <w:rPr>
          <w:b/>
          <w:sz w:val="24"/>
          <w:szCs w:val="24"/>
        </w:rPr>
      </w:pPr>
    </w:p>
    <w:p w:rsidR="001C0D25" w:rsidRPr="00274590" w:rsidRDefault="001C0D25" w:rsidP="000A58A5">
      <w:pPr>
        <w:pStyle w:val="ListParagraph"/>
        <w:numPr>
          <w:ilvl w:val="0"/>
          <w:numId w:val="7"/>
        </w:numPr>
        <w:ind w:left="709" w:hanging="567"/>
        <w:jc w:val="both"/>
        <w:rPr>
          <w:sz w:val="24"/>
          <w:szCs w:val="24"/>
        </w:rPr>
      </w:pPr>
      <w:r w:rsidRPr="00274590">
        <w:rPr>
          <w:sz w:val="24"/>
          <w:szCs w:val="24"/>
        </w:rPr>
        <w:t xml:space="preserve">157/271 rural LSOAs (57 percent) of rural LSOAs shift by 2 or more ranks </w:t>
      </w:r>
      <w:r w:rsidR="0094356E" w:rsidRPr="00274590">
        <w:rPr>
          <w:sz w:val="24"/>
          <w:szCs w:val="24"/>
        </w:rPr>
        <w:t xml:space="preserve">in a ‘more deprived’ direction </w:t>
      </w:r>
      <w:r w:rsidRPr="00274590">
        <w:rPr>
          <w:sz w:val="24"/>
          <w:szCs w:val="24"/>
        </w:rPr>
        <w:t>under the RDI.</w:t>
      </w:r>
    </w:p>
    <w:p w:rsidR="001C0D25" w:rsidRPr="00274590" w:rsidRDefault="0094356E" w:rsidP="000A58A5">
      <w:pPr>
        <w:pStyle w:val="ListParagraph"/>
        <w:numPr>
          <w:ilvl w:val="0"/>
          <w:numId w:val="7"/>
        </w:numPr>
        <w:ind w:left="709" w:hanging="567"/>
        <w:jc w:val="both"/>
        <w:rPr>
          <w:sz w:val="24"/>
          <w:szCs w:val="24"/>
        </w:rPr>
      </w:pPr>
      <w:r w:rsidRPr="00274590">
        <w:rPr>
          <w:sz w:val="24"/>
          <w:szCs w:val="24"/>
        </w:rPr>
        <w:t>there is</w:t>
      </w:r>
      <w:r w:rsidR="001C0D25" w:rsidRPr="00274590">
        <w:rPr>
          <w:sz w:val="24"/>
          <w:szCs w:val="24"/>
        </w:rPr>
        <w:t xml:space="preserve"> a shift of </w:t>
      </w:r>
      <w:r w:rsidRPr="00274590">
        <w:rPr>
          <w:sz w:val="24"/>
          <w:szCs w:val="24"/>
        </w:rPr>
        <w:t>82</w:t>
      </w:r>
      <w:r w:rsidR="001C0D25" w:rsidRPr="00274590">
        <w:rPr>
          <w:sz w:val="24"/>
          <w:szCs w:val="24"/>
        </w:rPr>
        <w:t>/267 (</w:t>
      </w:r>
      <w:r w:rsidRPr="00274590">
        <w:rPr>
          <w:sz w:val="24"/>
          <w:szCs w:val="24"/>
        </w:rPr>
        <w:t>31</w:t>
      </w:r>
      <w:r w:rsidR="001C0D25" w:rsidRPr="00274590">
        <w:rPr>
          <w:sz w:val="24"/>
          <w:szCs w:val="24"/>
        </w:rPr>
        <w:t xml:space="preserve"> percent) of Urban City and Town LSOAs</w:t>
      </w:r>
      <w:r w:rsidRPr="00274590">
        <w:rPr>
          <w:sz w:val="24"/>
          <w:szCs w:val="24"/>
        </w:rPr>
        <w:t xml:space="preserve"> in a ‘more deprived’ direction,</w:t>
      </w:r>
    </w:p>
    <w:p w:rsidR="001C0D25" w:rsidRPr="00274590" w:rsidRDefault="001C0D25" w:rsidP="000A58A5">
      <w:pPr>
        <w:pStyle w:val="ListParagraph"/>
        <w:numPr>
          <w:ilvl w:val="0"/>
          <w:numId w:val="7"/>
        </w:numPr>
        <w:ind w:left="709" w:hanging="567"/>
        <w:jc w:val="both"/>
        <w:rPr>
          <w:sz w:val="24"/>
          <w:szCs w:val="24"/>
        </w:rPr>
      </w:pPr>
      <w:r w:rsidRPr="00274590">
        <w:rPr>
          <w:sz w:val="24"/>
          <w:szCs w:val="24"/>
        </w:rPr>
        <w:t>nearly twice as many Rural Town and Fringe LSOAs compared with Rural Village and Dispersed LSOAs shift by 2 or more deciles in a ‘more deprived’ direction (100 compared with 57),</w:t>
      </w:r>
    </w:p>
    <w:p w:rsidR="001C0D25" w:rsidRPr="00274590" w:rsidRDefault="001C0D25" w:rsidP="000A58A5">
      <w:pPr>
        <w:pStyle w:val="ListParagraph"/>
        <w:numPr>
          <w:ilvl w:val="0"/>
          <w:numId w:val="7"/>
        </w:numPr>
        <w:ind w:left="709" w:hanging="567"/>
        <w:jc w:val="both"/>
        <w:rPr>
          <w:sz w:val="24"/>
          <w:szCs w:val="24"/>
        </w:rPr>
      </w:pPr>
      <w:r w:rsidRPr="00274590">
        <w:rPr>
          <w:sz w:val="24"/>
          <w:szCs w:val="24"/>
        </w:rPr>
        <w:t>4 rural LSOAs become less deprived</w:t>
      </w:r>
      <w:r w:rsidR="0094356E" w:rsidRPr="00274590">
        <w:rPr>
          <w:sz w:val="24"/>
          <w:szCs w:val="24"/>
        </w:rPr>
        <w:t>,</w:t>
      </w:r>
    </w:p>
    <w:p w:rsidR="0034603E" w:rsidRPr="00274590" w:rsidRDefault="00B55210" w:rsidP="000A58A5">
      <w:pPr>
        <w:pStyle w:val="ListParagraph"/>
        <w:numPr>
          <w:ilvl w:val="0"/>
          <w:numId w:val="7"/>
        </w:numPr>
        <w:ind w:left="709" w:hanging="567"/>
        <w:jc w:val="both"/>
        <w:rPr>
          <w:sz w:val="24"/>
          <w:szCs w:val="24"/>
        </w:rPr>
      </w:pPr>
      <w:proofErr w:type="gramStart"/>
      <w:r w:rsidRPr="00274590">
        <w:rPr>
          <w:sz w:val="24"/>
          <w:szCs w:val="24"/>
        </w:rPr>
        <w:lastRenderedPageBreak/>
        <w:t>the</w:t>
      </w:r>
      <w:proofErr w:type="gramEnd"/>
      <w:r w:rsidRPr="00274590">
        <w:rPr>
          <w:sz w:val="24"/>
          <w:szCs w:val="24"/>
        </w:rPr>
        <w:t xml:space="preserve"> few ‘most deprived’ LSOAs</w:t>
      </w:r>
      <w:r w:rsidR="0034603E" w:rsidRPr="00274590">
        <w:rPr>
          <w:sz w:val="24"/>
          <w:szCs w:val="24"/>
        </w:rPr>
        <w:t xml:space="preserve"> on the IMD are in the west of the County whereas those identified by the RDI are more scattered across the County (Maps N1 and N2).</w:t>
      </w:r>
    </w:p>
    <w:p w:rsidR="0034603E" w:rsidRPr="00274590" w:rsidRDefault="0034603E" w:rsidP="000A58A5">
      <w:pPr>
        <w:pStyle w:val="ListParagraph"/>
        <w:numPr>
          <w:ilvl w:val="0"/>
          <w:numId w:val="7"/>
        </w:numPr>
        <w:ind w:left="709" w:hanging="567"/>
        <w:jc w:val="both"/>
        <w:rPr>
          <w:sz w:val="24"/>
          <w:szCs w:val="24"/>
        </w:rPr>
      </w:pPr>
      <w:proofErr w:type="gramStart"/>
      <w:r w:rsidRPr="00274590">
        <w:rPr>
          <w:sz w:val="24"/>
          <w:szCs w:val="24"/>
        </w:rPr>
        <w:t>this</w:t>
      </w:r>
      <w:proofErr w:type="gramEnd"/>
      <w:r w:rsidRPr="00274590">
        <w:rPr>
          <w:sz w:val="24"/>
          <w:szCs w:val="24"/>
        </w:rPr>
        <w:t xml:space="preserve"> pattern is broadly similar when the changes from IMD to RDI ranks are considered (Map N3)</w:t>
      </w:r>
      <w:r w:rsidR="00832916" w:rsidRPr="00274590">
        <w:rPr>
          <w:sz w:val="24"/>
          <w:szCs w:val="24"/>
        </w:rPr>
        <w:t>.</w:t>
      </w:r>
    </w:p>
    <w:p w:rsidR="00276749" w:rsidRPr="00274590" w:rsidRDefault="00276749" w:rsidP="000A58A5">
      <w:pPr>
        <w:pStyle w:val="ListParagraph"/>
        <w:ind w:left="121"/>
        <w:jc w:val="both"/>
        <w:rPr>
          <w:b/>
          <w:sz w:val="24"/>
          <w:szCs w:val="24"/>
        </w:rPr>
      </w:pPr>
    </w:p>
    <w:p w:rsidR="008E76BE" w:rsidRPr="00274590" w:rsidRDefault="00BD4D28" w:rsidP="000A58A5">
      <w:pPr>
        <w:spacing w:after="0"/>
        <w:jc w:val="both"/>
        <w:rPr>
          <w:b/>
          <w:sz w:val="24"/>
          <w:szCs w:val="24"/>
        </w:rPr>
      </w:pPr>
      <w:r w:rsidRPr="00274590">
        <w:rPr>
          <w:b/>
          <w:sz w:val="24"/>
          <w:szCs w:val="24"/>
        </w:rPr>
        <w:t>C</w:t>
      </w:r>
      <w:r w:rsidR="001F018C" w:rsidRPr="00274590">
        <w:rPr>
          <w:b/>
          <w:sz w:val="24"/>
          <w:szCs w:val="24"/>
        </w:rPr>
        <w:t>ase Study 3:  The County of Devon</w:t>
      </w:r>
    </w:p>
    <w:p w:rsidR="008E76BE" w:rsidRPr="00274590" w:rsidRDefault="008E76BE" w:rsidP="000A58A5">
      <w:pPr>
        <w:spacing w:after="0"/>
        <w:jc w:val="both"/>
        <w:rPr>
          <w:b/>
          <w:sz w:val="24"/>
          <w:szCs w:val="24"/>
        </w:rPr>
      </w:pPr>
    </w:p>
    <w:p w:rsidR="006A33DC" w:rsidRPr="00274590" w:rsidRDefault="006A33DC" w:rsidP="000A58A5">
      <w:pPr>
        <w:jc w:val="both"/>
        <w:rPr>
          <w:b/>
          <w:sz w:val="24"/>
          <w:szCs w:val="24"/>
        </w:rPr>
      </w:pPr>
      <w:r w:rsidRPr="00274590">
        <w:rPr>
          <w:b/>
          <w:sz w:val="24"/>
          <w:szCs w:val="24"/>
        </w:rPr>
        <w:t>Table 10 Devon: The Distribution of Numbers and Population of LSOAs by Rural Definition</w:t>
      </w:r>
    </w:p>
    <w:p w:rsidR="006A33DC" w:rsidRPr="00274590" w:rsidRDefault="006A33DC" w:rsidP="000A58A5">
      <w:pPr>
        <w:jc w:val="both"/>
        <w:rPr>
          <w:b/>
          <w:sz w:val="24"/>
          <w:szCs w:val="24"/>
        </w:rPr>
      </w:pPr>
    </w:p>
    <w:p w:rsidR="006A33DC" w:rsidRPr="00274590" w:rsidRDefault="006A33DC" w:rsidP="000A58A5">
      <w:pPr>
        <w:jc w:val="both"/>
        <w:rPr>
          <w:b/>
          <w:sz w:val="24"/>
          <w:szCs w:val="24"/>
        </w:rPr>
      </w:pPr>
      <w:r w:rsidRPr="00274590">
        <w:rPr>
          <w:b/>
          <w:noProof/>
          <w:sz w:val="24"/>
          <w:szCs w:val="24"/>
          <w:lang w:eastAsia="en-GB"/>
        </w:rPr>
        <w:drawing>
          <wp:inline distT="0" distB="0" distL="0" distR="0">
            <wp:extent cx="4324954" cy="143847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324954" cy="1438476"/>
                    </a:xfrm>
                    <a:prstGeom prst="rect">
                      <a:avLst/>
                    </a:prstGeom>
                  </pic:spPr>
                </pic:pic>
              </a:graphicData>
            </a:graphic>
          </wp:inline>
        </w:drawing>
      </w:r>
    </w:p>
    <w:p w:rsidR="006A33DC" w:rsidRPr="00274590" w:rsidRDefault="006A33DC" w:rsidP="000A58A5">
      <w:pPr>
        <w:jc w:val="both"/>
        <w:rPr>
          <w:b/>
          <w:sz w:val="24"/>
          <w:szCs w:val="24"/>
        </w:rPr>
      </w:pPr>
      <w:r w:rsidRPr="00274590">
        <w:rPr>
          <w:b/>
          <w:sz w:val="24"/>
          <w:szCs w:val="24"/>
        </w:rPr>
        <w:t xml:space="preserve"> Key Points:</w:t>
      </w:r>
    </w:p>
    <w:p w:rsidR="00F90AD6" w:rsidRPr="00274590" w:rsidRDefault="00F90AD6" w:rsidP="000A58A5">
      <w:pPr>
        <w:pStyle w:val="ListParagraph"/>
        <w:numPr>
          <w:ilvl w:val="0"/>
          <w:numId w:val="11"/>
        </w:numPr>
        <w:ind w:hanging="578"/>
        <w:jc w:val="both"/>
        <w:rPr>
          <w:sz w:val="24"/>
          <w:szCs w:val="24"/>
        </w:rPr>
      </w:pPr>
      <w:r w:rsidRPr="00274590">
        <w:rPr>
          <w:sz w:val="24"/>
          <w:szCs w:val="24"/>
        </w:rPr>
        <w:t xml:space="preserve">a total population that is </w:t>
      </w:r>
      <w:r w:rsidR="00D24CEC" w:rsidRPr="00274590">
        <w:rPr>
          <w:sz w:val="24"/>
          <w:szCs w:val="24"/>
        </w:rPr>
        <w:t>identified</w:t>
      </w:r>
      <w:r w:rsidRPr="00274590">
        <w:rPr>
          <w:sz w:val="24"/>
          <w:szCs w:val="24"/>
        </w:rPr>
        <w:t xml:space="preserve"> as </w:t>
      </w:r>
      <w:r w:rsidR="00CD701D" w:rsidRPr="00274590">
        <w:rPr>
          <w:sz w:val="24"/>
          <w:szCs w:val="24"/>
        </w:rPr>
        <w:t xml:space="preserve">marginally </w:t>
      </w:r>
      <w:r w:rsidRPr="00274590">
        <w:rPr>
          <w:sz w:val="24"/>
          <w:szCs w:val="24"/>
        </w:rPr>
        <w:t>more rural than urban</w:t>
      </w:r>
      <w:r w:rsidR="00CD701D" w:rsidRPr="00274590">
        <w:rPr>
          <w:sz w:val="24"/>
          <w:szCs w:val="24"/>
        </w:rPr>
        <w:t>,</w:t>
      </w:r>
    </w:p>
    <w:p w:rsidR="00CD701D" w:rsidRPr="00274590" w:rsidRDefault="00CD701D" w:rsidP="000A58A5">
      <w:pPr>
        <w:pStyle w:val="ListParagraph"/>
        <w:numPr>
          <w:ilvl w:val="0"/>
          <w:numId w:val="11"/>
        </w:numPr>
        <w:ind w:hanging="578"/>
        <w:jc w:val="both"/>
        <w:rPr>
          <w:sz w:val="24"/>
          <w:szCs w:val="24"/>
        </w:rPr>
      </w:pPr>
      <w:proofErr w:type="gramStart"/>
      <w:r w:rsidRPr="00274590">
        <w:rPr>
          <w:sz w:val="24"/>
          <w:szCs w:val="24"/>
        </w:rPr>
        <w:t>a</w:t>
      </w:r>
      <w:proofErr w:type="gramEnd"/>
      <w:r w:rsidRPr="00274590">
        <w:rPr>
          <w:sz w:val="24"/>
          <w:szCs w:val="24"/>
        </w:rPr>
        <w:t xml:space="preserve"> larger population situated in Rural Village and Dispersed LSOAs than Rural Town and Village.</w:t>
      </w:r>
    </w:p>
    <w:p w:rsidR="00D24CEC" w:rsidRPr="00274590" w:rsidRDefault="00D24CEC" w:rsidP="000A58A5">
      <w:pPr>
        <w:pStyle w:val="ListParagraph"/>
        <w:numPr>
          <w:ilvl w:val="0"/>
          <w:numId w:val="11"/>
        </w:numPr>
        <w:ind w:hanging="578"/>
        <w:jc w:val="both"/>
        <w:rPr>
          <w:sz w:val="24"/>
          <w:szCs w:val="24"/>
        </w:rPr>
      </w:pPr>
      <w:r w:rsidRPr="00274590">
        <w:rPr>
          <w:sz w:val="24"/>
          <w:szCs w:val="24"/>
        </w:rPr>
        <w:t>Devon has 39 LSOAs in a Sparse context with a total population of 83,800</w:t>
      </w:r>
    </w:p>
    <w:p w:rsidR="006A33DC" w:rsidRPr="00274590" w:rsidRDefault="006A33DC" w:rsidP="000A58A5">
      <w:pPr>
        <w:jc w:val="both"/>
        <w:rPr>
          <w:b/>
          <w:sz w:val="24"/>
          <w:szCs w:val="24"/>
        </w:rPr>
      </w:pPr>
    </w:p>
    <w:p w:rsidR="006A33DC" w:rsidRPr="00274590" w:rsidRDefault="006A33DC" w:rsidP="000A58A5">
      <w:pPr>
        <w:jc w:val="both"/>
        <w:rPr>
          <w:b/>
          <w:sz w:val="24"/>
          <w:szCs w:val="24"/>
        </w:rPr>
      </w:pPr>
      <w:r w:rsidRPr="00274590">
        <w:rPr>
          <w:b/>
          <w:sz w:val="24"/>
          <w:szCs w:val="24"/>
        </w:rPr>
        <w:t xml:space="preserve">   Table 11 Devon: The Distribution of IMD 2019 LSOA Ranks by Settlement Type</w:t>
      </w:r>
    </w:p>
    <w:p w:rsidR="006A33DC" w:rsidRPr="00274590" w:rsidRDefault="006A33DC" w:rsidP="000A58A5">
      <w:pPr>
        <w:jc w:val="both"/>
        <w:rPr>
          <w:b/>
          <w:sz w:val="24"/>
          <w:szCs w:val="24"/>
        </w:rPr>
      </w:pPr>
      <w:r w:rsidRPr="00274590">
        <w:rPr>
          <w:b/>
          <w:noProof/>
          <w:sz w:val="24"/>
          <w:szCs w:val="24"/>
          <w:lang w:eastAsia="en-GB"/>
        </w:rPr>
        <w:drawing>
          <wp:inline distT="0" distB="0" distL="0" distR="0">
            <wp:extent cx="5563376" cy="159089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563376" cy="1590897"/>
                    </a:xfrm>
                    <a:prstGeom prst="rect">
                      <a:avLst/>
                    </a:prstGeom>
                  </pic:spPr>
                </pic:pic>
              </a:graphicData>
            </a:graphic>
          </wp:inline>
        </w:drawing>
      </w:r>
      <w:r w:rsidRPr="00274590">
        <w:rPr>
          <w:b/>
          <w:sz w:val="24"/>
          <w:szCs w:val="24"/>
        </w:rPr>
        <w:t xml:space="preserve"> </w:t>
      </w:r>
    </w:p>
    <w:p w:rsidR="006A33DC" w:rsidRPr="00274590" w:rsidRDefault="006A33DC" w:rsidP="000A58A5">
      <w:pPr>
        <w:jc w:val="both"/>
        <w:rPr>
          <w:b/>
          <w:sz w:val="24"/>
          <w:szCs w:val="24"/>
        </w:rPr>
      </w:pPr>
      <w:r w:rsidRPr="00274590">
        <w:rPr>
          <w:b/>
          <w:sz w:val="24"/>
          <w:szCs w:val="24"/>
        </w:rPr>
        <w:t>Key Points:</w:t>
      </w:r>
    </w:p>
    <w:p w:rsidR="00F90AD6" w:rsidRPr="00274590" w:rsidRDefault="00F90AD6" w:rsidP="000A58A5">
      <w:pPr>
        <w:pStyle w:val="ListParagraph"/>
        <w:numPr>
          <w:ilvl w:val="0"/>
          <w:numId w:val="8"/>
        </w:numPr>
        <w:ind w:hanging="720"/>
        <w:jc w:val="both"/>
        <w:rPr>
          <w:sz w:val="24"/>
          <w:szCs w:val="24"/>
        </w:rPr>
      </w:pPr>
      <w:r w:rsidRPr="00274590">
        <w:rPr>
          <w:sz w:val="24"/>
          <w:szCs w:val="24"/>
        </w:rPr>
        <w:t>no LSOAs identified as ‘most deprived (deciles 1 or 2)</w:t>
      </w:r>
      <w:r w:rsidR="00B66587" w:rsidRPr="00274590">
        <w:rPr>
          <w:sz w:val="24"/>
          <w:szCs w:val="24"/>
        </w:rPr>
        <w:t xml:space="preserve"> in the rural domain,</w:t>
      </w:r>
    </w:p>
    <w:p w:rsidR="00B66587" w:rsidRPr="00274590" w:rsidRDefault="00CD701D" w:rsidP="000A58A5">
      <w:pPr>
        <w:pStyle w:val="ListParagraph"/>
        <w:numPr>
          <w:ilvl w:val="0"/>
          <w:numId w:val="8"/>
        </w:numPr>
        <w:ind w:hanging="720"/>
        <w:jc w:val="both"/>
        <w:rPr>
          <w:sz w:val="24"/>
          <w:szCs w:val="24"/>
        </w:rPr>
      </w:pPr>
      <w:r w:rsidRPr="00274590">
        <w:rPr>
          <w:sz w:val="24"/>
          <w:szCs w:val="24"/>
        </w:rPr>
        <w:t>the</w:t>
      </w:r>
      <w:r w:rsidR="00B66587" w:rsidRPr="00274590">
        <w:rPr>
          <w:sz w:val="24"/>
          <w:szCs w:val="24"/>
        </w:rPr>
        <w:t xml:space="preserve"> small number of </w:t>
      </w:r>
      <w:r w:rsidR="00D72361" w:rsidRPr="00274590">
        <w:rPr>
          <w:sz w:val="24"/>
          <w:szCs w:val="24"/>
        </w:rPr>
        <w:t xml:space="preserve">‘most deprived’ </w:t>
      </w:r>
      <w:r w:rsidR="00B66587" w:rsidRPr="00274590">
        <w:rPr>
          <w:sz w:val="24"/>
          <w:szCs w:val="24"/>
        </w:rPr>
        <w:t xml:space="preserve">LSOAs (15/230) </w:t>
      </w:r>
      <w:r w:rsidRPr="00274590">
        <w:rPr>
          <w:sz w:val="24"/>
          <w:szCs w:val="24"/>
        </w:rPr>
        <w:t xml:space="preserve">in the County are </w:t>
      </w:r>
      <w:r w:rsidR="00B66587" w:rsidRPr="00274590">
        <w:rPr>
          <w:sz w:val="24"/>
          <w:szCs w:val="24"/>
        </w:rPr>
        <w:t>in the urban domain</w:t>
      </w:r>
      <w:r w:rsidR="00BD1F3D" w:rsidRPr="00274590">
        <w:rPr>
          <w:sz w:val="24"/>
          <w:szCs w:val="24"/>
        </w:rPr>
        <w:t xml:space="preserve"> (i</w:t>
      </w:r>
      <w:r w:rsidR="00BD4D28" w:rsidRPr="00274590">
        <w:rPr>
          <w:sz w:val="24"/>
          <w:szCs w:val="24"/>
        </w:rPr>
        <w:t xml:space="preserve">.e. the Urban Towns of </w:t>
      </w:r>
      <w:r w:rsidR="00BD1F3D" w:rsidRPr="00274590">
        <w:rPr>
          <w:sz w:val="24"/>
          <w:szCs w:val="24"/>
        </w:rPr>
        <w:t xml:space="preserve">Barnstaple, Bideford, Ilfracombe </w:t>
      </w:r>
      <w:r w:rsidR="00D72361" w:rsidRPr="00274590">
        <w:rPr>
          <w:sz w:val="24"/>
          <w:szCs w:val="24"/>
        </w:rPr>
        <w:t>and Exeter</w:t>
      </w:r>
      <w:r w:rsidR="00217611" w:rsidRPr="00274590">
        <w:rPr>
          <w:sz w:val="24"/>
          <w:szCs w:val="24"/>
        </w:rPr>
        <w:t xml:space="preserve"> (Map </w:t>
      </w:r>
      <w:r w:rsidRPr="00274590">
        <w:rPr>
          <w:sz w:val="24"/>
          <w:szCs w:val="24"/>
        </w:rPr>
        <w:t>D1</w:t>
      </w:r>
      <w:r w:rsidR="00217611" w:rsidRPr="00274590">
        <w:rPr>
          <w:sz w:val="24"/>
          <w:szCs w:val="24"/>
        </w:rPr>
        <w:t>)</w:t>
      </w:r>
    </w:p>
    <w:p w:rsidR="00DE4AFE" w:rsidRPr="00274590" w:rsidRDefault="00DE4AFE" w:rsidP="000A58A5">
      <w:pPr>
        <w:jc w:val="both"/>
        <w:rPr>
          <w:b/>
          <w:sz w:val="24"/>
          <w:szCs w:val="24"/>
        </w:rPr>
      </w:pPr>
    </w:p>
    <w:p w:rsidR="00B66587" w:rsidRPr="00274590" w:rsidRDefault="00B66587" w:rsidP="000A58A5">
      <w:pPr>
        <w:jc w:val="both"/>
        <w:rPr>
          <w:b/>
          <w:sz w:val="24"/>
          <w:szCs w:val="24"/>
        </w:rPr>
      </w:pPr>
      <w:r w:rsidRPr="00274590">
        <w:rPr>
          <w:b/>
          <w:sz w:val="24"/>
          <w:szCs w:val="24"/>
        </w:rPr>
        <w:lastRenderedPageBreak/>
        <w:t>Table 12 Devon: The Distribution of RDI</w:t>
      </w:r>
      <w:r w:rsidR="00BD4D28" w:rsidRPr="00274590">
        <w:rPr>
          <w:b/>
          <w:sz w:val="24"/>
          <w:szCs w:val="24"/>
        </w:rPr>
        <w:t xml:space="preserve"> 2019</w:t>
      </w:r>
      <w:r w:rsidRPr="00274590">
        <w:rPr>
          <w:b/>
          <w:sz w:val="24"/>
          <w:szCs w:val="24"/>
        </w:rPr>
        <w:t xml:space="preserve"> LSOA Ranks by Settlement Type</w:t>
      </w:r>
    </w:p>
    <w:p w:rsidR="00B66587" w:rsidRPr="00274590" w:rsidRDefault="009B36BD" w:rsidP="000A58A5">
      <w:pPr>
        <w:jc w:val="both"/>
        <w:rPr>
          <w:b/>
          <w:sz w:val="24"/>
          <w:szCs w:val="24"/>
        </w:rPr>
      </w:pPr>
      <w:r w:rsidRPr="00274590">
        <w:rPr>
          <w:b/>
          <w:noProof/>
          <w:sz w:val="24"/>
          <w:szCs w:val="24"/>
          <w:lang w:eastAsia="en-GB"/>
        </w:rPr>
        <w:drawing>
          <wp:inline distT="0" distB="0" distL="0" distR="0">
            <wp:extent cx="5487166" cy="134321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487166" cy="1343212"/>
                    </a:xfrm>
                    <a:prstGeom prst="rect">
                      <a:avLst/>
                    </a:prstGeom>
                  </pic:spPr>
                </pic:pic>
              </a:graphicData>
            </a:graphic>
          </wp:inline>
        </w:drawing>
      </w:r>
      <w:r w:rsidR="00217611" w:rsidRPr="00274590">
        <w:rPr>
          <w:b/>
          <w:sz w:val="24"/>
          <w:szCs w:val="24"/>
        </w:rPr>
        <w:t xml:space="preserve"> Key Points</w:t>
      </w:r>
    </w:p>
    <w:p w:rsidR="00EF1A43" w:rsidRPr="00274590" w:rsidRDefault="00FA1221" w:rsidP="000A58A5">
      <w:pPr>
        <w:pStyle w:val="ListParagraph"/>
        <w:numPr>
          <w:ilvl w:val="0"/>
          <w:numId w:val="9"/>
        </w:numPr>
        <w:ind w:hanging="578"/>
        <w:jc w:val="both"/>
        <w:rPr>
          <w:sz w:val="24"/>
          <w:szCs w:val="24"/>
        </w:rPr>
      </w:pPr>
      <w:r w:rsidRPr="00274590">
        <w:rPr>
          <w:sz w:val="24"/>
          <w:szCs w:val="24"/>
        </w:rPr>
        <w:t xml:space="preserve">compared with the IMD </w:t>
      </w:r>
      <w:r w:rsidR="00EF1A43" w:rsidRPr="00274590">
        <w:rPr>
          <w:sz w:val="24"/>
          <w:szCs w:val="24"/>
        </w:rPr>
        <w:t>12 rural LSOAs move into Deciles 1 and 2 most (9) in the rural town and fringe group</w:t>
      </w:r>
    </w:p>
    <w:p w:rsidR="00EF1A43" w:rsidRPr="00274590" w:rsidRDefault="00EF1A43" w:rsidP="000A58A5">
      <w:pPr>
        <w:pStyle w:val="ListParagraph"/>
        <w:numPr>
          <w:ilvl w:val="0"/>
          <w:numId w:val="9"/>
        </w:numPr>
        <w:ind w:hanging="578"/>
        <w:jc w:val="both"/>
        <w:rPr>
          <w:sz w:val="24"/>
          <w:szCs w:val="24"/>
        </w:rPr>
      </w:pPr>
      <w:r w:rsidRPr="00274590">
        <w:rPr>
          <w:sz w:val="24"/>
          <w:szCs w:val="24"/>
        </w:rPr>
        <w:t>a further 13 Urban City and Town LSOAs move into the ‘most deprived’ group</w:t>
      </w:r>
    </w:p>
    <w:p w:rsidR="00EF1A43" w:rsidRPr="00274590" w:rsidRDefault="00EF1A43" w:rsidP="000A58A5">
      <w:pPr>
        <w:pStyle w:val="ListParagraph"/>
        <w:numPr>
          <w:ilvl w:val="0"/>
          <w:numId w:val="9"/>
        </w:numPr>
        <w:ind w:hanging="578"/>
        <w:jc w:val="both"/>
        <w:rPr>
          <w:sz w:val="24"/>
          <w:szCs w:val="24"/>
        </w:rPr>
      </w:pPr>
      <w:r w:rsidRPr="00274590">
        <w:rPr>
          <w:sz w:val="24"/>
          <w:szCs w:val="24"/>
        </w:rPr>
        <w:t xml:space="preserve">the ‘least deprived’ </w:t>
      </w:r>
      <w:r w:rsidR="00A428BC" w:rsidRPr="00274590">
        <w:rPr>
          <w:sz w:val="24"/>
          <w:szCs w:val="24"/>
        </w:rPr>
        <w:t>group (</w:t>
      </w:r>
      <w:r w:rsidRPr="00274590">
        <w:rPr>
          <w:sz w:val="24"/>
          <w:szCs w:val="24"/>
        </w:rPr>
        <w:t>Quintile 5</w:t>
      </w:r>
      <w:r w:rsidR="00A428BC" w:rsidRPr="00274590">
        <w:rPr>
          <w:sz w:val="24"/>
          <w:szCs w:val="24"/>
        </w:rPr>
        <w:t>)</w:t>
      </w:r>
      <w:r w:rsidRPr="00274590">
        <w:rPr>
          <w:sz w:val="24"/>
          <w:szCs w:val="24"/>
        </w:rPr>
        <w:t xml:space="preserve"> reduces by 39 LSOAs</w:t>
      </w:r>
      <w:r w:rsidR="00595C21" w:rsidRPr="00274590">
        <w:rPr>
          <w:sz w:val="24"/>
          <w:szCs w:val="24"/>
        </w:rPr>
        <w:t>,</w:t>
      </w:r>
    </w:p>
    <w:p w:rsidR="00595C21" w:rsidRPr="00274590" w:rsidRDefault="00B12F80" w:rsidP="000A58A5">
      <w:pPr>
        <w:pStyle w:val="ListParagraph"/>
        <w:numPr>
          <w:ilvl w:val="0"/>
          <w:numId w:val="9"/>
        </w:numPr>
        <w:ind w:hanging="578"/>
        <w:jc w:val="both"/>
        <w:rPr>
          <w:sz w:val="24"/>
          <w:szCs w:val="24"/>
        </w:rPr>
      </w:pPr>
      <w:proofErr w:type="gramStart"/>
      <w:r w:rsidRPr="00274590">
        <w:rPr>
          <w:sz w:val="24"/>
          <w:szCs w:val="24"/>
        </w:rPr>
        <w:t>the</w:t>
      </w:r>
      <w:proofErr w:type="gramEnd"/>
      <w:r w:rsidRPr="00274590">
        <w:rPr>
          <w:sz w:val="24"/>
          <w:szCs w:val="24"/>
        </w:rPr>
        <w:t xml:space="preserve"> few LSOAs in Deciles 1 and 2 on the RDI are mainly in the north and sparsely populated parts of the County (Map D2).</w:t>
      </w:r>
    </w:p>
    <w:p w:rsidR="00217611" w:rsidRPr="00274590" w:rsidRDefault="00217611" w:rsidP="000A58A5">
      <w:pPr>
        <w:jc w:val="both"/>
        <w:rPr>
          <w:b/>
          <w:sz w:val="24"/>
          <w:szCs w:val="24"/>
        </w:rPr>
      </w:pPr>
    </w:p>
    <w:p w:rsidR="006A33DC" w:rsidRPr="00274590" w:rsidRDefault="006A33DC" w:rsidP="000A58A5">
      <w:pPr>
        <w:pStyle w:val="ListParagraph"/>
        <w:ind w:left="121" w:hanging="121"/>
        <w:jc w:val="both"/>
        <w:rPr>
          <w:b/>
          <w:sz w:val="24"/>
          <w:szCs w:val="24"/>
        </w:rPr>
      </w:pPr>
      <w:r w:rsidRPr="00274590">
        <w:rPr>
          <w:b/>
          <w:sz w:val="24"/>
          <w:szCs w:val="24"/>
        </w:rPr>
        <w:t xml:space="preserve">Table 12 Devon: Significant Shifts in Deciles from IMD to RDI </w:t>
      </w:r>
    </w:p>
    <w:p w:rsidR="00FA1221" w:rsidRPr="00274590" w:rsidRDefault="00FA1221" w:rsidP="000A58A5">
      <w:pPr>
        <w:pStyle w:val="ListParagraph"/>
        <w:ind w:left="121" w:hanging="121"/>
        <w:jc w:val="both"/>
        <w:rPr>
          <w:b/>
          <w:sz w:val="24"/>
          <w:szCs w:val="24"/>
        </w:rPr>
      </w:pPr>
    </w:p>
    <w:p w:rsidR="00A6551C" w:rsidRPr="00274590" w:rsidRDefault="00FA1221" w:rsidP="000A58A5">
      <w:pPr>
        <w:pStyle w:val="ListParagraph"/>
        <w:ind w:left="121" w:hanging="121"/>
        <w:jc w:val="both"/>
        <w:rPr>
          <w:b/>
          <w:sz w:val="24"/>
          <w:szCs w:val="24"/>
        </w:rPr>
      </w:pPr>
      <w:r w:rsidRPr="00274590">
        <w:rPr>
          <w:b/>
          <w:noProof/>
          <w:sz w:val="24"/>
          <w:szCs w:val="24"/>
          <w:lang w:eastAsia="en-GB"/>
        </w:rPr>
        <w:drawing>
          <wp:inline distT="0" distB="0" distL="0" distR="0">
            <wp:extent cx="5515745" cy="14670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515745" cy="1467055"/>
                    </a:xfrm>
                    <a:prstGeom prst="rect">
                      <a:avLst/>
                    </a:prstGeom>
                  </pic:spPr>
                </pic:pic>
              </a:graphicData>
            </a:graphic>
          </wp:inline>
        </w:drawing>
      </w:r>
    </w:p>
    <w:p w:rsidR="00A6551C" w:rsidRPr="00274590" w:rsidRDefault="00A6551C" w:rsidP="000A58A5">
      <w:pPr>
        <w:pStyle w:val="ListParagraph"/>
        <w:ind w:left="121" w:hanging="121"/>
        <w:jc w:val="both"/>
        <w:rPr>
          <w:b/>
          <w:sz w:val="24"/>
          <w:szCs w:val="24"/>
        </w:rPr>
      </w:pPr>
    </w:p>
    <w:p w:rsidR="006A33DC" w:rsidRPr="00274590" w:rsidRDefault="00A6551C" w:rsidP="000A58A5">
      <w:pPr>
        <w:jc w:val="both"/>
        <w:rPr>
          <w:b/>
          <w:sz w:val="24"/>
          <w:szCs w:val="24"/>
        </w:rPr>
      </w:pPr>
      <w:r w:rsidRPr="00274590">
        <w:rPr>
          <w:b/>
          <w:sz w:val="24"/>
          <w:szCs w:val="24"/>
        </w:rPr>
        <w:t>Key Points</w:t>
      </w:r>
    </w:p>
    <w:p w:rsidR="00A428BC" w:rsidRPr="00274590" w:rsidRDefault="00A428BC" w:rsidP="000A58A5">
      <w:pPr>
        <w:pStyle w:val="ListParagraph"/>
        <w:numPr>
          <w:ilvl w:val="0"/>
          <w:numId w:val="10"/>
        </w:numPr>
        <w:ind w:hanging="720"/>
        <w:jc w:val="both"/>
        <w:rPr>
          <w:sz w:val="24"/>
          <w:szCs w:val="24"/>
        </w:rPr>
      </w:pPr>
      <w:r w:rsidRPr="00274590">
        <w:rPr>
          <w:sz w:val="24"/>
          <w:szCs w:val="24"/>
        </w:rPr>
        <w:t>71 rural LSOAs (31%) move 2 or more ranks in a ‘more deprived’ direction</w:t>
      </w:r>
    </w:p>
    <w:p w:rsidR="00A428BC" w:rsidRPr="00274590" w:rsidRDefault="00A428BC" w:rsidP="000A58A5">
      <w:pPr>
        <w:pStyle w:val="ListParagraph"/>
        <w:numPr>
          <w:ilvl w:val="0"/>
          <w:numId w:val="10"/>
        </w:numPr>
        <w:ind w:hanging="720"/>
        <w:jc w:val="both"/>
        <w:rPr>
          <w:sz w:val="24"/>
          <w:szCs w:val="24"/>
        </w:rPr>
      </w:pPr>
      <w:r w:rsidRPr="00274590">
        <w:rPr>
          <w:sz w:val="24"/>
          <w:szCs w:val="24"/>
        </w:rPr>
        <w:t>most of these (61) are Rural Town and Fringe LSOAs</w:t>
      </w:r>
    </w:p>
    <w:p w:rsidR="00A428BC" w:rsidRPr="00274590" w:rsidRDefault="00A428BC" w:rsidP="000A58A5">
      <w:pPr>
        <w:pStyle w:val="ListParagraph"/>
        <w:numPr>
          <w:ilvl w:val="0"/>
          <w:numId w:val="10"/>
        </w:numPr>
        <w:ind w:hanging="720"/>
        <w:jc w:val="both"/>
        <w:rPr>
          <w:sz w:val="24"/>
          <w:szCs w:val="24"/>
        </w:rPr>
      </w:pPr>
      <w:r w:rsidRPr="00274590">
        <w:rPr>
          <w:sz w:val="24"/>
          <w:szCs w:val="24"/>
        </w:rPr>
        <w:t xml:space="preserve">49 Urban City and Town LSOAs </w:t>
      </w:r>
      <w:r w:rsidR="00111EFB" w:rsidRPr="00274590">
        <w:rPr>
          <w:sz w:val="24"/>
          <w:szCs w:val="24"/>
        </w:rPr>
        <w:t xml:space="preserve">(21%) shift </w:t>
      </w:r>
      <w:r w:rsidR="00313F5A" w:rsidRPr="00274590">
        <w:rPr>
          <w:sz w:val="24"/>
          <w:szCs w:val="24"/>
        </w:rPr>
        <w:t>by 2 or more ranks</w:t>
      </w:r>
      <w:r w:rsidR="00111EFB" w:rsidRPr="00274590">
        <w:rPr>
          <w:sz w:val="24"/>
          <w:szCs w:val="24"/>
        </w:rPr>
        <w:t xml:space="preserve"> in a ‘more deprived’ direction</w:t>
      </w:r>
    </w:p>
    <w:p w:rsidR="00A428BC" w:rsidRPr="00274590" w:rsidRDefault="00A428BC" w:rsidP="000A58A5">
      <w:pPr>
        <w:pStyle w:val="ListParagraph"/>
        <w:numPr>
          <w:ilvl w:val="0"/>
          <w:numId w:val="10"/>
        </w:numPr>
        <w:ind w:hanging="720"/>
        <w:jc w:val="both"/>
        <w:rPr>
          <w:sz w:val="24"/>
          <w:szCs w:val="24"/>
        </w:rPr>
      </w:pPr>
      <w:r w:rsidRPr="00274590">
        <w:rPr>
          <w:sz w:val="24"/>
          <w:szCs w:val="24"/>
        </w:rPr>
        <w:t xml:space="preserve">21 Rural Village and Dispersed LSOAs move into </w:t>
      </w:r>
      <w:r w:rsidR="00111EFB" w:rsidRPr="00274590">
        <w:rPr>
          <w:sz w:val="24"/>
          <w:szCs w:val="24"/>
        </w:rPr>
        <w:t>‘</w:t>
      </w:r>
      <w:r w:rsidRPr="00274590">
        <w:rPr>
          <w:sz w:val="24"/>
          <w:szCs w:val="24"/>
        </w:rPr>
        <w:t>less deprived</w:t>
      </w:r>
      <w:r w:rsidR="00111EFB" w:rsidRPr="00274590">
        <w:rPr>
          <w:sz w:val="24"/>
          <w:szCs w:val="24"/>
        </w:rPr>
        <w:t>’ but no Rural Town and Fringe LSOAs do so</w:t>
      </w:r>
      <w:r w:rsidR="00B12F80" w:rsidRPr="00274590">
        <w:rPr>
          <w:sz w:val="24"/>
          <w:szCs w:val="24"/>
        </w:rPr>
        <w:t>,</w:t>
      </w:r>
    </w:p>
    <w:p w:rsidR="00B12F80" w:rsidRPr="00274590" w:rsidRDefault="00647338" w:rsidP="000A58A5">
      <w:pPr>
        <w:pStyle w:val="ListParagraph"/>
        <w:numPr>
          <w:ilvl w:val="0"/>
          <w:numId w:val="10"/>
        </w:numPr>
        <w:ind w:hanging="720"/>
        <w:jc w:val="both"/>
        <w:rPr>
          <w:sz w:val="24"/>
          <w:szCs w:val="24"/>
        </w:rPr>
      </w:pPr>
      <w:proofErr w:type="gramStart"/>
      <w:r w:rsidRPr="00274590">
        <w:rPr>
          <w:sz w:val="24"/>
          <w:szCs w:val="24"/>
        </w:rPr>
        <w:t>rural</w:t>
      </w:r>
      <w:proofErr w:type="gramEnd"/>
      <w:r w:rsidRPr="00274590">
        <w:rPr>
          <w:sz w:val="24"/>
          <w:szCs w:val="24"/>
        </w:rPr>
        <w:t xml:space="preserve"> LSOAs vary considerably in size and shape and are likely to contain settlements with widely varying levels of deprivation (Map D4).</w:t>
      </w:r>
    </w:p>
    <w:p w:rsidR="006A33DC" w:rsidRPr="00274590" w:rsidRDefault="006A33DC" w:rsidP="000A58A5">
      <w:pPr>
        <w:pStyle w:val="ListParagraph"/>
        <w:ind w:left="121"/>
        <w:jc w:val="both"/>
        <w:rPr>
          <w:b/>
          <w:sz w:val="24"/>
          <w:szCs w:val="24"/>
        </w:rPr>
      </w:pPr>
    </w:p>
    <w:p w:rsidR="004C7ADA" w:rsidRPr="00274590" w:rsidRDefault="004C7ADA" w:rsidP="000A58A5">
      <w:pPr>
        <w:pStyle w:val="ListParagraph"/>
        <w:ind w:left="121"/>
        <w:jc w:val="both"/>
        <w:rPr>
          <w:b/>
          <w:sz w:val="24"/>
          <w:szCs w:val="24"/>
        </w:rPr>
      </w:pPr>
    </w:p>
    <w:p w:rsidR="00DE4AFE" w:rsidRPr="00274590" w:rsidRDefault="00DE4AFE" w:rsidP="000A58A5">
      <w:pPr>
        <w:pStyle w:val="ListParagraph"/>
        <w:ind w:left="121"/>
        <w:jc w:val="both"/>
        <w:rPr>
          <w:b/>
          <w:sz w:val="24"/>
          <w:szCs w:val="24"/>
        </w:rPr>
      </w:pPr>
    </w:p>
    <w:p w:rsidR="00DE4AFE" w:rsidRPr="00274590" w:rsidRDefault="00DE4AFE" w:rsidP="000A58A5">
      <w:pPr>
        <w:pStyle w:val="ListParagraph"/>
        <w:ind w:left="121"/>
        <w:jc w:val="both"/>
        <w:rPr>
          <w:b/>
          <w:sz w:val="24"/>
          <w:szCs w:val="24"/>
        </w:rPr>
      </w:pPr>
    </w:p>
    <w:p w:rsidR="00DE4AFE" w:rsidRPr="00274590" w:rsidRDefault="00DE4AFE" w:rsidP="000A58A5">
      <w:pPr>
        <w:pStyle w:val="ListParagraph"/>
        <w:ind w:left="121"/>
        <w:jc w:val="both"/>
        <w:rPr>
          <w:b/>
          <w:sz w:val="24"/>
          <w:szCs w:val="24"/>
        </w:rPr>
      </w:pPr>
    </w:p>
    <w:p w:rsidR="000C6009" w:rsidRPr="00274590" w:rsidRDefault="00DE4AFE" w:rsidP="000A58A5">
      <w:pPr>
        <w:pStyle w:val="ListParagraph"/>
        <w:ind w:left="121"/>
        <w:jc w:val="both"/>
        <w:rPr>
          <w:b/>
          <w:sz w:val="24"/>
          <w:szCs w:val="24"/>
        </w:rPr>
      </w:pPr>
      <w:r w:rsidRPr="00274590">
        <w:rPr>
          <w:b/>
          <w:sz w:val="24"/>
          <w:szCs w:val="24"/>
        </w:rPr>
        <w:lastRenderedPageBreak/>
        <w:t xml:space="preserve">6 </w:t>
      </w:r>
      <w:r w:rsidR="00BD4D28" w:rsidRPr="00274590">
        <w:rPr>
          <w:b/>
          <w:sz w:val="24"/>
          <w:szCs w:val="24"/>
        </w:rPr>
        <w:t xml:space="preserve">The Case Studies, </w:t>
      </w:r>
      <w:r w:rsidRPr="00274590">
        <w:rPr>
          <w:b/>
          <w:sz w:val="24"/>
          <w:szCs w:val="24"/>
        </w:rPr>
        <w:t xml:space="preserve">Some </w:t>
      </w:r>
      <w:r w:rsidR="006D706B" w:rsidRPr="00274590">
        <w:rPr>
          <w:b/>
          <w:sz w:val="24"/>
          <w:szCs w:val="24"/>
        </w:rPr>
        <w:t>Points for Discussion.</w:t>
      </w:r>
    </w:p>
    <w:p w:rsidR="00CD74C6" w:rsidRPr="00274590" w:rsidRDefault="00CD74C6" w:rsidP="000A58A5">
      <w:pPr>
        <w:pStyle w:val="ListParagraph"/>
        <w:ind w:left="121"/>
        <w:jc w:val="both"/>
        <w:rPr>
          <w:b/>
          <w:sz w:val="24"/>
          <w:szCs w:val="24"/>
        </w:rPr>
      </w:pPr>
    </w:p>
    <w:p w:rsidR="004947F6" w:rsidRPr="00274590" w:rsidRDefault="00630B77" w:rsidP="000A58A5">
      <w:pPr>
        <w:pStyle w:val="ListParagraph"/>
        <w:ind w:left="121"/>
        <w:jc w:val="both"/>
        <w:rPr>
          <w:sz w:val="24"/>
          <w:szCs w:val="24"/>
        </w:rPr>
      </w:pPr>
      <w:r w:rsidRPr="00274590">
        <w:rPr>
          <w:sz w:val="24"/>
          <w:szCs w:val="24"/>
        </w:rPr>
        <w:t xml:space="preserve">The RDI provides a valuable counterfactual from which </w:t>
      </w:r>
      <w:r w:rsidR="004947F6" w:rsidRPr="00274590">
        <w:rPr>
          <w:sz w:val="24"/>
          <w:szCs w:val="24"/>
        </w:rPr>
        <w:t xml:space="preserve">to </w:t>
      </w:r>
      <w:r w:rsidRPr="00274590">
        <w:rPr>
          <w:sz w:val="24"/>
          <w:szCs w:val="24"/>
        </w:rPr>
        <w:t>explore some of the issues surrounding the apparent ‘bias’ towards the urban in the IMD and</w:t>
      </w:r>
      <w:r w:rsidR="004947F6" w:rsidRPr="00274590">
        <w:rPr>
          <w:sz w:val="24"/>
          <w:szCs w:val="24"/>
        </w:rPr>
        <w:t xml:space="preserve"> </w:t>
      </w:r>
      <w:r w:rsidR="004C7ADA" w:rsidRPr="00274590">
        <w:rPr>
          <w:sz w:val="24"/>
          <w:szCs w:val="24"/>
        </w:rPr>
        <w:t xml:space="preserve">to </w:t>
      </w:r>
      <w:r w:rsidR="004947F6" w:rsidRPr="00274590">
        <w:rPr>
          <w:sz w:val="24"/>
          <w:szCs w:val="24"/>
        </w:rPr>
        <w:t>exami</w:t>
      </w:r>
      <w:r w:rsidR="004C7ADA" w:rsidRPr="00274590">
        <w:rPr>
          <w:sz w:val="24"/>
          <w:szCs w:val="24"/>
        </w:rPr>
        <w:t>ne</w:t>
      </w:r>
      <w:r w:rsidR="004947F6" w:rsidRPr="00274590">
        <w:rPr>
          <w:sz w:val="24"/>
          <w:szCs w:val="24"/>
        </w:rPr>
        <w:t xml:space="preserve"> </w:t>
      </w:r>
      <w:r w:rsidRPr="00274590">
        <w:rPr>
          <w:sz w:val="24"/>
          <w:szCs w:val="24"/>
        </w:rPr>
        <w:t xml:space="preserve">the construction of a </w:t>
      </w:r>
      <w:r w:rsidR="004C7ADA" w:rsidRPr="00274590">
        <w:rPr>
          <w:sz w:val="24"/>
          <w:szCs w:val="24"/>
        </w:rPr>
        <w:t xml:space="preserve">more </w:t>
      </w:r>
      <w:r w:rsidRPr="00274590">
        <w:rPr>
          <w:sz w:val="24"/>
          <w:szCs w:val="24"/>
        </w:rPr>
        <w:t>rural</w:t>
      </w:r>
      <w:r w:rsidR="004C7ADA" w:rsidRPr="00274590">
        <w:rPr>
          <w:sz w:val="24"/>
          <w:szCs w:val="24"/>
        </w:rPr>
        <w:t xml:space="preserve">ly relevant </w:t>
      </w:r>
      <w:r w:rsidRPr="00274590">
        <w:rPr>
          <w:sz w:val="24"/>
          <w:szCs w:val="24"/>
        </w:rPr>
        <w:t xml:space="preserve">indicator of deprivation. Recognising that the case studies </w:t>
      </w:r>
      <w:r w:rsidR="00B519F9" w:rsidRPr="00274590">
        <w:rPr>
          <w:sz w:val="24"/>
          <w:szCs w:val="24"/>
        </w:rPr>
        <w:t>are limited in number and</w:t>
      </w:r>
      <w:r w:rsidR="004C7ADA" w:rsidRPr="00274590">
        <w:rPr>
          <w:sz w:val="24"/>
          <w:szCs w:val="24"/>
        </w:rPr>
        <w:t xml:space="preserve"> that</w:t>
      </w:r>
      <w:r w:rsidR="00B519F9" w:rsidRPr="00274590">
        <w:rPr>
          <w:sz w:val="24"/>
          <w:szCs w:val="24"/>
        </w:rPr>
        <w:t xml:space="preserve"> the method of IMD-RDI comparison is designed </w:t>
      </w:r>
      <w:r w:rsidR="004947F6" w:rsidRPr="00274590">
        <w:rPr>
          <w:sz w:val="24"/>
          <w:szCs w:val="24"/>
        </w:rPr>
        <w:t>for</w:t>
      </w:r>
      <w:r w:rsidR="00B519F9" w:rsidRPr="00274590">
        <w:rPr>
          <w:sz w:val="24"/>
          <w:szCs w:val="24"/>
        </w:rPr>
        <w:t xml:space="preserve"> transparen</w:t>
      </w:r>
      <w:r w:rsidR="004947F6" w:rsidRPr="00274590">
        <w:rPr>
          <w:sz w:val="24"/>
          <w:szCs w:val="24"/>
        </w:rPr>
        <w:t>cy</w:t>
      </w:r>
      <w:r w:rsidR="00B519F9" w:rsidRPr="00274590">
        <w:rPr>
          <w:sz w:val="24"/>
          <w:szCs w:val="24"/>
        </w:rPr>
        <w:t xml:space="preserve"> rather than statistical</w:t>
      </w:r>
      <w:r w:rsidR="004947F6" w:rsidRPr="00274590">
        <w:rPr>
          <w:sz w:val="24"/>
          <w:szCs w:val="24"/>
        </w:rPr>
        <w:t xml:space="preserve"> rigour,</w:t>
      </w:r>
      <w:r w:rsidR="00B519F9" w:rsidRPr="00274590">
        <w:rPr>
          <w:sz w:val="24"/>
          <w:szCs w:val="24"/>
        </w:rPr>
        <w:t xml:space="preserve"> what do the results tell us? </w:t>
      </w:r>
      <w:r w:rsidR="004947F6" w:rsidRPr="00274590">
        <w:rPr>
          <w:sz w:val="24"/>
          <w:szCs w:val="24"/>
        </w:rPr>
        <w:t xml:space="preserve">The following points </w:t>
      </w:r>
      <w:r w:rsidR="00A57A32" w:rsidRPr="00274590">
        <w:rPr>
          <w:sz w:val="24"/>
          <w:szCs w:val="24"/>
        </w:rPr>
        <w:t>(by no means exhaustive)</w:t>
      </w:r>
      <w:r w:rsidR="004C7ADA" w:rsidRPr="00274590">
        <w:rPr>
          <w:sz w:val="24"/>
          <w:szCs w:val="24"/>
        </w:rPr>
        <w:t>,</w:t>
      </w:r>
      <w:r w:rsidR="00A57A32" w:rsidRPr="00274590">
        <w:rPr>
          <w:sz w:val="24"/>
          <w:szCs w:val="24"/>
        </w:rPr>
        <w:t xml:space="preserve"> </w:t>
      </w:r>
      <w:r w:rsidR="004947F6" w:rsidRPr="00274590">
        <w:rPr>
          <w:sz w:val="24"/>
          <w:szCs w:val="24"/>
        </w:rPr>
        <w:t>might be a basis for discussion:</w:t>
      </w:r>
    </w:p>
    <w:p w:rsidR="004947F6" w:rsidRPr="00274590" w:rsidRDefault="004947F6" w:rsidP="000A58A5">
      <w:pPr>
        <w:pStyle w:val="ListParagraph"/>
        <w:ind w:left="121"/>
        <w:jc w:val="both"/>
        <w:rPr>
          <w:sz w:val="24"/>
          <w:szCs w:val="24"/>
        </w:rPr>
      </w:pPr>
    </w:p>
    <w:p w:rsidR="0047515A" w:rsidRPr="00274590" w:rsidRDefault="0047515A" w:rsidP="000A58A5">
      <w:pPr>
        <w:pStyle w:val="ListParagraph"/>
        <w:numPr>
          <w:ilvl w:val="0"/>
          <w:numId w:val="13"/>
        </w:numPr>
        <w:ind w:hanging="699"/>
        <w:jc w:val="both"/>
        <w:rPr>
          <w:sz w:val="24"/>
          <w:szCs w:val="24"/>
        </w:rPr>
      </w:pPr>
      <w:r w:rsidRPr="00274590">
        <w:rPr>
          <w:sz w:val="24"/>
          <w:szCs w:val="24"/>
        </w:rPr>
        <w:t>there are increases in both RTF and RVD LSOAs in the ‘most deprived’ (Deciles 1 and 2) LSOAs between the IMD and the RDI in all three counties,</w:t>
      </w:r>
    </w:p>
    <w:p w:rsidR="0047515A" w:rsidRPr="00274590" w:rsidRDefault="0047515A" w:rsidP="000A58A5">
      <w:pPr>
        <w:pStyle w:val="ListParagraph"/>
        <w:ind w:left="121" w:hanging="699"/>
        <w:jc w:val="both"/>
        <w:rPr>
          <w:sz w:val="24"/>
          <w:szCs w:val="24"/>
        </w:rPr>
      </w:pPr>
    </w:p>
    <w:p w:rsidR="0047515A" w:rsidRPr="00274590" w:rsidRDefault="004C7ADA" w:rsidP="000A58A5">
      <w:pPr>
        <w:pStyle w:val="ListParagraph"/>
        <w:numPr>
          <w:ilvl w:val="0"/>
          <w:numId w:val="13"/>
        </w:numPr>
        <w:ind w:hanging="699"/>
        <w:jc w:val="both"/>
        <w:rPr>
          <w:sz w:val="24"/>
          <w:szCs w:val="24"/>
        </w:rPr>
      </w:pPr>
      <w:r w:rsidRPr="00274590">
        <w:rPr>
          <w:sz w:val="24"/>
          <w:szCs w:val="24"/>
        </w:rPr>
        <w:t xml:space="preserve">in terms of numbers </w:t>
      </w:r>
      <w:r w:rsidR="0047515A" w:rsidRPr="00274590">
        <w:rPr>
          <w:sz w:val="24"/>
          <w:szCs w:val="24"/>
        </w:rPr>
        <w:t>these increases are a particular feature of RDF LSOAs, especially in Lincolnshire and Norfolk and, to a lesser extent, in the Devon case,</w:t>
      </w:r>
    </w:p>
    <w:p w:rsidR="0047515A" w:rsidRPr="00274590" w:rsidRDefault="0047515A" w:rsidP="000A58A5">
      <w:pPr>
        <w:pStyle w:val="ListParagraph"/>
        <w:ind w:left="121" w:hanging="699"/>
        <w:jc w:val="both"/>
        <w:rPr>
          <w:sz w:val="24"/>
          <w:szCs w:val="24"/>
        </w:rPr>
      </w:pPr>
    </w:p>
    <w:p w:rsidR="004947F6" w:rsidRPr="00274590" w:rsidRDefault="0047515A" w:rsidP="000A58A5">
      <w:pPr>
        <w:pStyle w:val="ListParagraph"/>
        <w:numPr>
          <w:ilvl w:val="0"/>
          <w:numId w:val="13"/>
        </w:numPr>
        <w:ind w:hanging="699"/>
        <w:jc w:val="both"/>
        <w:rPr>
          <w:sz w:val="24"/>
          <w:szCs w:val="24"/>
        </w:rPr>
      </w:pPr>
      <w:r w:rsidRPr="00274590">
        <w:rPr>
          <w:sz w:val="24"/>
          <w:szCs w:val="24"/>
        </w:rPr>
        <w:t>perhaps unexpectedly, the IMD-RDI comparison also identifies more Urban Town and City LSOAs especially</w:t>
      </w:r>
      <w:r w:rsidR="00771E55" w:rsidRPr="00274590">
        <w:rPr>
          <w:sz w:val="24"/>
          <w:szCs w:val="24"/>
        </w:rPr>
        <w:t xml:space="preserve"> in the Norfolk case but also, though with small numbers, in the Devon case,</w:t>
      </w:r>
    </w:p>
    <w:p w:rsidR="00771E55" w:rsidRPr="00274590" w:rsidRDefault="00771E55" w:rsidP="000A58A5">
      <w:pPr>
        <w:pStyle w:val="ListParagraph"/>
        <w:ind w:left="121" w:hanging="699"/>
        <w:jc w:val="both"/>
        <w:rPr>
          <w:sz w:val="24"/>
          <w:szCs w:val="24"/>
        </w:rPr>
      </w:pPr>
    </w:p>
    <w:p w:rsidR="00771E55" w:rsidRPr="00274590" w:rsidRDefault="00771E55" w:rsidP="000A58A5">
      <w:pPr>
        <w:pStyle w:val="ListParagraph"/>
        <w:numPr>
          <w:ilvl w:val="0"/>
          <w:numId w:val="13"/>
        </w:numPr>
        <w:ind w:hanging="699"/>
        <w:jc w:val="both"/>
        <w:rPr>
          <w:sz w:val="24"/>
          <w:szCs w:val="24"/>
        </w:rPr>
      </w:pPr>
      <w:r w:rsidRPr="00274590">
        <w:rPr>
          <w:sz w:val="24"/>
          <w:szCs w:val="24"/>
        </w:rPr>
        <w:t xml:space="preserve">as regards </w:t>
      </w:r>
      <w:r w:rsidRPr="00274590">
        <w:rPr>
          <w:i/>
          <w:sz w:val="24"/>
          <w:szCs w:val="24"/>
        </w:rPr>
        <w:t>shifts</w:t>
      </w:r>
      <w:r w:rsidRPr="00274590">
        <w:rPr>
          <w:sz w:val="24"/>
          <w:szCs w:val="24"/>
        </w:rPr>
        <w:t xml:space="preserve"> in rankings from IMD to RDI, these are significantly in the direction of ‘more deprived’ in all three counties and especially among RTF and UTC LSOAs,</w:t>
      </w:r>
    </w:p>
    <w:p w:rsidR="000B31B4" w:rsidRPr="00274590" w:rsidRDefault="000B31B4" w:rsidP="000A58A5">
      <w:pPr>
        <w:pStyle w:val="ListParagraph"/>
        <w:ind w:left="121" w:hanging="699"/>
        <w:jc w:val="both"/>
        <w:rPr>
          <w:sz w:val="24"/>
          <w:szCs w:val="24"/>
        </w:rPr>
      </w:pPr>
    </w:p>
    <w:p w:rsidR="000B31B4" w:rsidRPr="00274590" w:rsidRDefault="000B31B4" w:rsidP="000A58A5">
      <w:pPr>
        <w:pStyle w:val="ListParagraph"/>
        <w:numPr>
          <w:ilvl w:val="0"/>
          <w:numId w:val="13"/>
        </w:numPr>
        <w:ind w:hanging="699"/>
        <w:jc w:val="both"/>
        <w:rPr>
          <w:sz w:val="24"/>
          <w:szCs w:val="24"/>
        </w:rPr>
      </w:pPr>
      <w:r w:rsidRPr="00274590">
        <w:rPr>
          <w:sz w:val="24"/>
          <w:szCs w:val="24"/>
        </w:rPr>
        <w:t>mapping of shifts among LSOA rankings indicate a spread of shifts across all three counties,</w:t>
      </w:r>
    </w:p>
    <w:p w:rsidR="0047515A" w:rsidRPr="00274590" w:rsidRDefault="0047515A" w:rsidP="000A58A5">
      <w:pPr>
        <w:pStyle w:val="ListParagraph"/>
        <w:ind w:left="121" w:hanging="699"/>
        <w:jc w:val="both"/>
        <w:rPr>
          <w:sz w:val="24"/>
          <w:szCs w:val="24"/>
        </w:rPr>
      </w:pPr>
    </w:p>
    <w:p w:rsidR="0047515A" w:rsidRPr="00274590" w:rsidRDefault="0047515A" w:rsidP="000A58A5">
      <w:pPr>
        <w:pStyle w:val="ListParagraph"/>
        <w:numPr>
          <w:ilvl w:val="0"/>
          <w:numId w:val="13"/>
        </w:numPr>
        <w:ind w:hanging="699"/>
        <w:jc w:val="both"/>
        <w:rPr>
          <w:sz w:val="24"/>
          <w:szCs w:val="24"/>
        </w:rPr>
      </w:pPr>
      <w:proofErr w:type="gramStart"/>
      <w:r w:rsidRPr="00274590">
        <w:rPr>
          <w:sz w:val="24"/>
          <w:szCs w:val="24"/>
        </w:rPr>
        <w:t>closer</w:t>
      </w:r>
      <w:proofErr w:type="gramEnd"/>
      <w:r w:rsidRPr="00274590">
        <w:rPr>
          <w:sz w:val="24"/>
          <w:szCs w:val="24"/>
        </w:rPr>
        <w:t xml:space="preserve"> examination of the Devon case reveals</w:t>
      </w:r>
      <w:r w:rsidR="00771E55" w:rsidRPr="00274590">
        <w:rPr>
          <w:sz w:val="24"/>
          <w:szCs w:val="24"/>
        </w:rPr>
        <w:t xml:space="preserve"> the impact of LSOA areal extent/shape</w:t>
      </w:r>
      <w:r w:rsidR="000B31B4" w:rsidRPr="00274590">
        <w:rPr>
          <w:sz w:val="24"/>
          <w:szCs w:val="24"/>
        </w:rPr>
        <w:t xml:space="preserve"> on the identification of settlement related deprivation</w:t>
      </w:r>
      <w:r w:rsidR="009776AC" w:rsidRPr="00274590">
        <w:rPr>
          <w:sz w:val="24"/>
          <w:szCs w:val="24"/>
        </w:rPr>
        <w:t xml:space="preserve"> as shown in Map D4.</w:t>
      </w:r>
    </w:p>
    <w:p w:rsidR="000B31B4" w:rsidRPr="00274590" w:rsidRDefault="000B31B4" w:rsidP="000A58A5">
      <w:pPr>
        <w:pStyle w:val="ListParagraph"/>
        <w:ind w:left="121"/>
        <w:jc w:val="both"/>
        <w:rPr>
          <w:sz w:val="24"/>
          <w:szCs w:val="24"/>
        </w:rPr>
      </w:pPr>
    </w:p>
    <w:p w:rsidR="00A57A32" w:rsidRPr="00274590" w:rsidRDefault="00A57A32" w:rsidP="000A58A5">
      <w:pPr>
        <w:pStyle w:val="ListParagraph"/>
        <w:ind w:left="121"/>
        <w:jc w:val="both"/>
        <w:rPr>
          <w:sz w:val="24"/>
          <w:szCs w:val="24"/>
        </w:rPr>
      </w:pPr>
      <w:r w:rsidRPr="00274590">
        <w:rPr>
          <w:sz w:val="24"/>
          <w:szCs w:val="24"/>
        </w:rPr>
        <w:t xml:space="preserve">Finally, there are </w:t>
      </w:r>
      <w:r w:rsidR="009776AC" w:rsidRPr="00274590">
        <w:rPr>
          <w:sz w:val="24"/>
          <w:szCs w:val="24"/>
        </w:rPr>
        <w:t>two</w:t>
      </w:r>
      <w:r w:rsidRPr="00274590">
        <w:rPr>
          <w:sz w:val="24"/>
          <w:szCs w:val="24"/>
        </w:rPr>
        <w:t xml:space="preserve"> general points</w:t>
      </w:r>
      <w:r w:rsidR="004C7ADA" w:rsidRPr="00274590">
        <w:rPr>
          <w:sz w:val="24"/>
          <w:szCs w:val="24"/>
        </w:rPr>
        <w:t xml:space="preserve"> to be made</w:t>
      </w:r>
      <w:r w:rsidRPr="00274590">
        <w:rPr>
          <w:sz w:val="24"/>
          <w:szCs w:val="24"/>
        </w:rPr>
        <w:t xml:space="preserve">. First, </w:t>
      </w:r>
      <w:r w:rsidR="000B31B4" w:rsidRPr="00274590">
        <w:rPr>
          <w:sz w:val="24"/>
          <w:szCs w:val="24"/>
        </w:rPr>
        <w:t>the impact, as yet unknown, of Covid 19 mitigation measures on 2021 Census data</w:t>
      </w:r>
      <w:r w:rsidRPr="00274590">
        <w:rPr>
          <w:sz w:val="24"/>
          <w:szCs w:val="24"/>
        </w:rPr>
        <w:t xml:space="preserve"> may, in any event, </w:t>
      </w:r>
      <w:r w:rsidR="009776AC" w:rsidRPr="00274590">
        <w:rPr>
          <w:sz w:val="24"/>
          <w:szCs w:val="24"/>
        </w:rPr>
        <w:t>lead to a</w:t>
      </w:r>
      <w:r w:rsidRPr="00274590">
        <w:rPr>
          <w:sz w:val="24"/>
          <w:szCs w:val="24"/>
        </w:rPr>
        <w:t xml:space="preserve"> need to rethink the content of the IMD. Secondly, the 2021 Census is likely to be the last carried out in the traditional questionnaire manner. Future censuses will be based upon administrative data which opens the possibility for more finely grained approaches to the identification of rural deprivation.</w:t>
      </w:r>
      <w:r w:rsidR="009776AC" w:rsidRPr="00274590">
        <w:rPr>
          <w:sz w:val="24"/>
          <w:szCs w:val="24"/>
        </w:rPr>
        <w:t xml:space="preserve"> Both of these tendencies suggest the need for more local knowledge as input to any future indicator of rural deprivation.</w:t>
      </w:r>
    </w:p>
    <w:p w:rsidR="00A57A32" w:rsidRPr="00274590" w:rsidRDefault="00A57A32" w:rsidP="000A58A5">
      <w:pPr>
        <w:pStyle w:val="ListParagraph"/>
        <w:ind w:left="121"/>
        <w:jc w:val="both"/>
        <w:rPr>
          <w:sz w:val="24"/>
          <w:szCs w:val="24"/>
        </w:rPr>
      </w:pPr>
    </w:p>
    <w:sectPr w:rsidR="00A57A32" w:rsidRPr="00274590" w:rsidSect="00130E13">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8E" w:rsidRDefault="00CD758E" w:rsidP="000C46DA">
      <w:pPr>
        <w:spacing w:after="0" w:line="240" w:lineRule="auto"/>
      </w:pPr>
      <w:r>
        <w:separator/>
      </w:r>
    </w:p>
  </w:endnote>
  <w:endnote w:type="continuationSeparator" w:id="0">
    <w:p w:rsidR="00CD758E" w:rsidRDefault="00CD758E" w:rsidP="000C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3235"/>
      <w:docPartObj>
        <w:docPartGallery w:val="Page Numbers (Bottom of Page)"/>
        <w:docPartUnique/>
      </w:docPartObj>
    </w:sdtPr>
    <w:sdtContent>
      <w:p w:rsidR="000A58A5" w:rsidRDefault="000A58A5">
        <w:pPr>
          <w:pStyle w:val="Footer"/>
          <w:jc w:val="center"/>
        </w:pPr>
        <w:fldSimple w:instr=" PAGE   \* MERGEFORMAT ">
          <w:r w:rsidR="00090968">
            <w:rPr>
              <w:noProof/>
            </w:rPr>
            <w:t>1</w:t>
          </w:r>
        </w:fldSimple>
      </w:p>
    </w:sdtContent>
  </w:sdt>
  <w:p w:rsidR="000A58A5" w:rsidRDefault="000A5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8E" w:rsidRDefault="00CD758E" w:rsidP="000C46DA">
      <w:pPr>
        <w:spacing w:after="0" w:line="240" w:lineRule="auto"/>
      </w:pPr>
      <w:r>
        <w:separator/>
      </w:r>
    </w:p>
  </w:footnote>
  <w:footnote w:type="continuationSeparator" w:id="0">
    <w:p w:rsidR="00CD758E" w:rsidRDefault="00CD758E" w:rsidP="000C46DA">
      <w:pPr>
        <w:spacing w:after="0" w:line="240" w:lineRule="auto"/>
      </w:pPr>
      <w:r>
        <w:continuationSeparator/>
      </w:r>
    </w:p>
  </w:footnote>
  <w:footnote w:id="1">
    <w:p w:rsidR="00BE6CC4" w:rsidRDefault="00BE6CC4">
      <w:pPr>
        <w:pStyle w:val="FootnoteText"/>
      </w:pPr>
      <w:r>
        <w:rPr>
          <w:rStyle w:val="FootnoteReference"/>
        </w:rPr>
        <w:footnoteRef/>
      </w:r>
      <w:r w:rsidR="00F91B84">
        <w:t>Shepherd J</w:t>
      </w:r>
      <w:r>
        <w:t xml:space="preserve"> ‘An Initial Analysis of the Rural Deprivation Index with respect to Lincolnshire’, February 2012.</w:t>
      </w:r>
    </w:p>
  </w:footnote>
  <w:footnote w:id="2">
    <w:p w:rsidR="00D11D5C" w:rsidRDefault="00D11D5C">
      <w:pPr>
        <w:pStyle w:val="FootnoteText"/>
      </w:pPr>
      <w:r>
        <w:rPr>
          <w:rStyle w:val="FootnoteReference"/>
        </w:rPr>
        <w:footnoteRef/>
      </w:r>
      <w:r>
        <w:t xml:space="preserve"> The first analysis was undertaken at the suggestion of Ivan Annibal of Rose Regeneration. </w:t>
      </w:r>
      <w:r w:rsidR="000B75B5">
        <w:t>Ivan</w:t>
      </w:r>
      <w:r>
        <w:t xml:space="preserve"> has provided </w:t>
      </w:r>
      <w:r w:rsidR="006E76A3">
        <w:t>support for th</w:t>
      </w:r>
      <w:r w:rsidR="000B75B5">
        <w:t>e present</w:t>
      </w:r>
      <w:r w:rsidR="006E76A3">
        <w:t xml:space="preserve"> extension of the research.</w:t>
      </w:r>
    </w:p>
  </w:footnote>
  <w:footnote w:id="3">
    <w:p w:rsidR="000C46DA" w:rsidRDefault="000C46DA">
      <w:pPr>
        <w:pStyle w:val="FootnoteText"/>
      </w:pPr>
      <w:r>
        <w:rPr>
          <w:rStyle w:val="FootnoteReference"/>
        </w:rPr>
        <w:footnoteRef/>
      </w:r>
      <w:r>
        <w:t xml:space="preserve"> There are 32,844 LSOAs in England. On average they cover areas</w:t>
      </w:r>
      <w:r w:rsidR="00BF777E">
        <w:t xml:space="preserve"> </w:t>
      </w:r>
      <w:r>
        <w:t xml:space="preserve">with </w:t>
      </w:r>
      <w:r w:rsidR="00BF777E">
        <w:t>around</w:t>
      </w:r>
      <w:r>
        <w:t xml:space="preserve"> 1,500 residents or 650 households.</w:t>
      </w:r>
    </w:p>
  </w:footnote>
  <w:footnote w:id="4">
    <w:p w:rsidR="00933F2A" w:rsidRDefault="00933F2A">
      <w:pPr>
        <w:pStyle w:val="FootnoteText"/>
      </w:pPr>
      <w:r>
        <w:rPr>
          <w:rStyle w:val="FootnoteReference"/>
        </w:rPr>
        <w:footnoteRef/>
      </w:r>
      <w:r>
        <w:t xml:space="preserve"> This would appear to leave seven variables for inclusion in the data aggregation model, four of which were from IMD 2015.</w:t>
      </w:r>
    </w:p>
  </w:footnote>
  <w:footnote w:id="5">
    <w:p w:rsidR="00333E61" w:rsidRDefault="00333E61">
      <w:pPr>
        <w:pStyle w:val="FootnoteText"/>
      </w:pPr>
      <w:r>
        <w:rPr>
          <w:rStyle w:val="FootnoteReference"/>
        </w:rPr>
        <w:footnoteRef/>
      </w:r>
      <w:r>
        <w:t xml:space="preserve"> These few sentences do not by any means do justice to the careful sensitivity and validity testing procedures described in the paper. A full comparison of the </w:t>
      </w:r>
      <w:r w:rsidR="00E7220F">
        <w:t>potential role</w:t>
      </w:r>
      <w:r>
        <w:t xml:space="preserve"> of the RDI compared with the IMD in policy applications would require careful assessment of these sections</w:t>
      </w:r>
      <w:r w:rsidR="00E7220F">
        <w:t xml:space="preserve"> of the NMS paper</w:t>
      </w:r>
      <w:r>
        <w:t>.</w:t>
      </w:r>
    </w:p>
  </w:footnote>
  <w:footnote w:id="6">
    <w:p w:rsidR="006D1C61" w:rsidRDefault="006D1C61">
      <w:pPr>
        <w:pStyle w:val="FootnoteText"/>
      </w:pPr>
      <w:r>
        <w:rPr>
          <w:rStyle w:val="FootnoteReference"/>
        </w:rPr>
        <w:footnoteRef/>
      </w:r>
      <w:r>
        <w:t xml:space="preserve"> </w:t>
      </w:r>
      <w:r w:rsidR="00F339C2">
        <w:t>Though in fact, nearly a decade after they were modelled the 2019 populations of LSOAs in Lincolnshire range from 1017 to 4575 with a mean of 1812. The unweighted mean between the three categories of settlement remains similar at about 1800</w:t>
      </w:r>
      <w:r w:rsidR="00D3486B">
        <w:t>.</w:t>
      </w:r>
    </w:p>
  </w:footnote>
  <w:footnote w:id="7">
    <w:p w:rsidR="004D4547" w:rsidRDefault="004D4547">
      <w:pPr>
        <w:pStyle w:val="FootnoteText"/>
      </w:pPr>
      <w:r>
        <w:rPr>
          <w:rStyle w:val="FootnoteReference"/>
        </w:rPr>
        <w:footnoteRef/>
      </w:r>
      <w:r>
        <w:t xml:space="preserve"> Note that these distributions are for the RDI based upon the IDM 2019 data as kindly supplied by the authors of the NMS a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08"/>
    <w:multiLevelType w:val="hybridMultilevel"/>
    <w:tmpl w:val="E27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62444"/>
    <w:multiLevelType w:val="hybridMultilevel"/>
    <w:tmpl w:val="F586C2E8"/>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
    <w:nsid w:val="2FC01CDA"/>
    <w:multiLevelType w:val="hybridMultilevel"/>
    <w:tmpl w:val="263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EF0E2E"/>
    <w:multiLevelType w:val="hybridMultilevel"/>
    <w:tmpl w:val="39E2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970C13"/>
    <w:multiLevelType w:val="hybridMultilevel"/>
    <w:tmpl w:val="91A27722"/>
    <w:lvl w:ilvl="0" w:tplc="4F2466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B812B2"/>
    <w:multiLevelType w:val="hybridMultilevel"/>
    <w:tmpl w:val="B052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154B2"/>
    <w:multiLevelType w:val="hybridMultilevel"/>
    <w:tmpl w:val="DE4E09C0"/>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7">
    <w:nsid w:val="570C27D4"/>
    <w:multiLevelType w:val="hybridMultilevel"/>
    <w:tmpl w:val="A5D8BE0A"/>
    <w:lvl w:ilvl="0" w:tplc="17EC2BD0">
      <w:start w:val="1"/>
      <w:numFmt w:val="lowerLetter"/>
      <w:lvlText w:val="(%1)"/>
      <w:lvlJc w:val="left"/>
      <w:pPr>
        <w:ind w:left="121" w:hanging="360"/>
      </w:pPr>
      <w:rPr>
        <w:rFonts w:hint="default"/>
        <w:b/>
      </w:rPr>
    </w:lvl>
    <w:lvl w:ilvl="1" w:tplc="08090019" w:tentative="1">
      <w:start w:val="1"/>
      <w:numFmt w:val="lowerLetter"/>
      <w:lvlText w:val="%2."/>
      <w:lvlJc w:val="left"/>
      <w:pPr>
        <w:ind w:left="841" w:hanging="360"/>
      </w:pPr>
    </w:lvl>
    <w:lvl w:ilvl="2" w:tplc="0809001B" w:tentative="1">
      <w:start w:val="1"/>
      <w:numFmt w:val="lowerRoman"/>
      <w:lvlText w:val="%3."/>
      <w:lvlJc w:val="right"/>
      <w:pPr>
        <w:ind w:left="1561" w:hanging="180"/>
      </w:pPr>
    </w:lvl>
    <w:lvl w:ilvl="3" w:tplc="0809000F" w:tentative="1">
      <w:start w:val="1"/>
      <w:numFmt w:val="decimal"/>
      <w:lvlText w:val="%4."/>
      <w:lvlJc w:val="left"/>
      <w:pPr>
        <w:ind w:left="2281" w:hanging="360"/>
      </w:pPr>
    </w:lvl>
    <w:lvl w:ilvl="4" w:tplc="08090019" w:tentative="1">
      <w:start w:val="1"/>
      <w:numFmt w:val="lowerLetter"/>
      <w:lvlText w:val="%5."/>
      <w:lvlJc w:val="left"/>
      <w:pPr>
        <w:ind w:left="3001" w:hanging="360"/>
      </w:pPr>
    </w:lvl>
    <w:lvl w:ilvl="5" w:tplc="0809001B" w:tentative="1">
      <w:start w:val="1"/>
      <w:numFmt w:val="lowerRoman"/>
      <w:lvlText w:val="%6."/>
      <w:lvlJc w:val="right"/>
      <w:pPr>
        <w:ind w:left="3721" w:hanging="180"/>
      </w:pPr>
    </w:lvl>
    <w:lvl w:ilvl="6" w:tplc="0809000F" w:tentative="1">
      <w:start w:val="1"/>
      <w:numFmt w:val="decimal"/>
      <w:lvlText w:val="%7."/>
      <w:lvlJc w:val="left"/>
      <w:pPr>
        <w:ind w:left="4441" w:hanging="360"/>
      </w:pPr>
    </w:lvl>
    <w:lvl w:ilvl="7" w:tplc="08090019" w:tentative="1">
      <w:start w:val="1"/>
      <w:numFmt w:val="lowerLetter"/>
      <w:lvlText w:val="%8."/>
      <w:lvlJc w:val="left"/>
      <w:pPr>
        <w:ind w:left="5161" w:hanging="360"/>
      </w:pPr>
    </w:lvl>
    <w:lvl w:ilvl="8" w:tplc="0809001B" w:tentative="1">
      <w:start w:val="1"/>
      <w:numFmt w:val="lowerRoman"/>
      <w:lvlText w:val="%9."/>
      <w:lvlJc w:val="right"/>
      <w:pPr>
        <w:ind w:left="5881" w:hanging="180"/>
      </w:pPr>
    </w:lvl>
  </w:abstractNum>
  <w:abstractNum w:abstractNumId="8">
    <w:nsid w:val="6ECE225F"/>
    <w:multiLevelType w:val="hybridMultilevel"/>
    <w:tmpl w:val="501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56566"/>
    <w:multiLevelType w:val="hybridMultilevel"/>
    <w:tmpl w:val="7FB6EB2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0">
    <w:nsid w:val="76992DA0"/>
    <w:multiLevelType w:val="hybridMultilevel"/>
    <w:tmpl w:val="395C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A525F"/>
    <w:multiLevelType w:val="hybridMultilevel"/>
    <w:tmpl w:val="A7B0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1"/>
  </w:num>
  <w:num w:numId="5">
    <w:abstractNumId w:val="8"/>
  </w:num>
  <w:num w:numId="6">
    <w:abstractNumId w:val="6"/>
  </w:num>
  <w:num w:numId="7">
    <w:abstractNumId w:val="1"/>
  </w:num>
  <w:num w:numId="8">
    <w:abstractNumId w:val="2"/>
  </w:num>
  <w:num w:numId="9">
    <w:abstractNumId w:val="0"/>
  </w:num>
  <w:num w:numId="10">
    <w:abstractNumId w:val="3"/>
  </w:num>
  <w:num w:numId="11">
    <w:abstractNumId w:val="5"/>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1CB2"/>
    <w:rsid w:val="00001E3A"/>
    <w:rsid w:val="000042C2"/>
    <w:rsid w:val="0000646E"/>
    <w:rsid w:val="00017552"/>
    <w:rsid w:val="00026B1D"/>
    <w:rsid w:val="00032E73"/>
    <w:rsid w:val="0003380D"/>
    <w:rsid w:val="00045954"/>
    <w:rsid w:val="0006206A"/>
    <w:rsid w:val="00067972"/>
    <w:rsid w:val="00090968"/>
    <w:rsid w:val="000A58A5"/>
    <w:rsid w:val="000B31B4"/>
    <w:rsid w:val="000B75B5"/>
    <w:rsid w:val="000C241A"/>
    <w:rsid w:val="000C320B"/>
    <w:rsid w:val="000C46DA"/>
    <w:rsid w:val="000C6009"/>
    <w:rsid w:val="000C60D9"/>
    <w:rsid w:val="00100372"/>
    <w:rsid w:val="00102EA3"/>
    <w:rsid w:val="00105038"/>
    <w:rsid w:val="00111EFB"/>
    <w:rsid w:val="00130E13"/>
    <w:rsid w:val="0014032C"/>
    <w:rsid w:val="00151F83"/>
    <w:rsid w:val="00154499"/>
    <w:rsid w:val="00155436"/>
    <w:rsid w:val="00166BCC"/>
    <w:rsid w:val="00167002"/>
    <w:rsid w:val="00175039"/>
    <w:rsid w:val="001C0D25"/>
    <w:rsid w:val="001D58CA"/>
    <w:rsid w:val="001E2834"/>
    <w:rsid w:val="001F018C"/>
    <w:rsid w:val="001F3A51"/>
    <w:rsid w:val="00217611"/>
    <w:rsid w:val="00226CD2"/>
    <w:rsid w:val="00230971"/>
    <w:rsid w:val="0024196B"/>
    <w:rsid w:val="00252D3A"/>
    <w:rsid w:val="0027165B"/>
    <w:rsid w:val="002722C3"/>
    <w:rsid w:val="00274590"/>
    <w:rsid w:val="0027500F"/>
    <w:rsid w:val="00276749"/>
    <w:rsid w:val="00292039"/>
    <w:rsid w:val="002A1AE9"/>
    <w:rsid w:val="002A664A"/>
    <w:rsid w:val="002B54C7"/>
    <w:rsid w:val="002B5943"/>
    <w:rsid w:val="002C3880"/>
    <w:rsid w:val="002C6AFE"/>
    <w:rsid w:val="002D3BC9"/>
    <w:rsid w:val="002D3F44"/>
    <w:rsid w:val="002D7694"/>
    <w:rsid w:val="002E5A84"/>
    <w:rsid w:val="002F3280"/>
    <w:rsid w:val="002F4A72"/>
    <w:rsid w:val="00313F5A"/>
    <w:rsid w:val="00314D15"/>
    <w:rsid w:val="00333E61"/>
    <w:rsid w:val="00342F13"/>
    <w:rsid w:val="0034603E"/>
    <w:rsid w:val="00346EDF"/>
    <w:rsid w:val="00362D70"/>
    <w:rsid w:val="00367205"/>
    <w:rsid w:val="00375C77"/>
    <w:rsid w:val="00376D6D"/>
    <w:rsid w:val="003802FD"/>
    <w:rsid w:val="003C44DF"/>
    <w:rsid w:val="003D1D5C"/>
    <w:rsid w:val="003D2379"/>
    <w:rsid w:val="003D5CB3"/>
    <w:rsid w:val="003D699A"/>
    <w:rsid w:val="003E374C"/>
    <w:rsid w:val="00406714"/>
    <w:rsid w:val="0042099D"/>
    <w:rsid w:val="00440D69"/>
    <w:rsid w:val="004537DC"/>
    <w:rsid w:val="00454EF0"/>
    <w:rsid w:val="00455124"/>
    <w:rsid w:val="00456DF4"/>
    <w:rsid w:val="004635E5"/>
    <w:rsid w:val="00467E1E"/>
    <w:rsid w:val="00470F3E"/>
    <w:rsid w:val="00472CC4"/>
    <w:rsid w:val="004737EB"/>
    <w:rsid w:val="0047515A"/>
    <w:rsid w:val="004914FD"/>
    <w:rsid w:val="00492BD3"/>
    <w:rsid w:val="004947F6"/>
    <w:rsid w:val="004A2C06"/>
    <w:rsid w:val="004B1933"/>
    <w:rsid w:val="004B4D8E"/>
    <w:rsid w:val="004C7ADA"/>
    <w:rsid w:val="004D0C1F"/>
    <w:rsid w:val="004D4547"/>
    <w:rsid w:val="004D47DA"/>
    <w:rsid w:val="004E3386"/>
    <w:rsid w:val="004F51BF"/>
    <w:rsid w:val="00503498"/>
    <w:rsid w:val="00522F1F"/>
    <w:rsid w:val="00534C17"/>
    <w:rsid w:val="00542E1F"/>
    <w:rsid w:val="00546DB6"/>
    <w:rsid w:val="00562AAA"/>
    <w:rsid w:val="005904E3"/>
    <w:rsid w:val="00591F1C"/>
    <w:rsid w:val="00595C21"/>
    <w:rsid w:val="005A7944"/>
    <w:rsid w:val="005D03E6"/>
    <w:rsid w:val="005E2676"/>
    <w:rsid w:val="00601B6B"/>
    <w:rsid w:val="0062637C"/>
    <w:rsid w:val="006306EE"/>
    <w:rsid w:val="00630B77"/>
    <w:rsid w:val="00633542"/>
    <w:rsid w:val="0063465C"/>
    <w:rsid w:val="00647338"/>
    <w:rsid w:val="00663FA0"/>
    <w:rsid w:val="006715E8"/>
    <w:rsid w:val="00691700"/>
    <w:rsid w:val="00691F5F"/>
    <w:rsid w:val="006A1339"/>
    <w:rsid w:val="006A2CF6"/>
    <w:rsid w:val="006A33DC"/>
    <w:rsid w:val="006B77B3"/>
    <w:rsid w:val="006C02BE"/>
    <w:rsid w:val="006D1C61"/>
    <w:rsid w:val="006D612D"/>
    <w:rsid w:val="006D6479"/>
    <w:rsid w:val="006D706B"/>
    <w:rsid w:val="006E76A3"/>
    <w:rsid w:val="00700934"/>
    <w:rsid w:val="00715E7F"/>
    <w:rsid w:val="00732CBC"/>
    <w:rsid w:val="007469D3"/>
    <w:rsid w:val="00746CC1"/>
    <w:rsid w:val="007479D9"/>
    <w:rsid w:val="00760893"/>
    <w:rsid w:val="007613AF"/>
    <w:rsid w:val="00771E55"/>
    <w:rsid w:val="00774DD4"/>
    <w:rsid w:val="007A2A37"/>
    <w:rsid w:val="007A36A3"/>
    <w:rsid w:val="007A595F"/>
    <w:rsid w:val="007B49CC"/>
    <w:rsid w:val="007B7CC8"/>
    <w:rsid w:val="007D34A7"/>
    <w:rsid w:val="007E63F9"/>
    <w:rsid w:val="007E744A"/>
    <w:rsid w:val="007F1731"/>
    <w:rsid w:val="008200EA"/>
    <w:rsid w:val="008232F8"/>
    <w:rsid w:val="008235BD"/>
    <w:rsid w:val="008314BD"/>
    <w:rsid w:val="00832916"/>
    <w:rsid w:val="0083311C"/>
    <w:rsid w:val="00834E2F"/>
    <w:rsid w:val="00836062"/>
    <w:rsid w:val="00856608"/>
    <w:rsid w:val="00893B9D"/>
    <w:rsid w:val="008C37CB"/>
    <w:rsid w:val="008D2666"/>
    <w:rsid w:val="008D4331"/>
    <w:rsid w:val="008E1A45"/>
    <w:rsid w:val="008E635A"/>
    <w:rsid w:val="008E76BE"/>
    <w:rsid w:val="008F3883"/>
    <w:rsid w:val="009112F6"/>
    <w:rsid w:val="0092375B"/>
    <w:rsid w:val="009239C4"/>
    <w:rsid w:val="00924EF4"/>
    <w:rsid w:val="0092599E"/>
    <w:rsid w:val="00931BA1"/>
    <w:rsid w:val="00933B3B"/>
    <w:rsid w:val="00933F2A"/>
    <w:rsid w:val="009359EC"/>
    <w:rsid w:val="0094356E"/>
    <w:rsid w:val="00947C17"/>
    <w:rsid w:val="00961D3D"/>
    <w:rsid w:val="009776AC"/>
    <w:rsid w:val="0098083F"/>
    <w:rsid w:val="00983190"/>
    <w:rsid w:val="009943AE"/>
    <w:rsid w:val="009B36BD"/>
    <w:rsid w:val="009D17FE"/>
    <w:rsid w:val="009D5416"/>
    <w:rsid w:val="009D7D27"/>
    <w:rsid w:val="009F3053"/>
    <w:rsid w:val="00A02CB8"/>
    <w:rsid w:val="00A144CB"/>
    <w:rsid w:val="00A17A85"/>
    <w:rsid w:val="00A279F8"/>
    <w:rsid w:val="00A27E04"/>
    <w:rsid w:val="00A428BC"/>
    <w:rsid w:val="00A45D90"/>
    <w:rsid w:val="00A46A5E"/>
    <w:rsid w:val="00A518C0"/>
    <w:rsid w:val="00A541BD"/>
    <w:rsid w:val="00A57A32"/>
    <w:rsid w:val="00A6551C"/>
    <w:rsid w:val="00A6760E"/>
    <w:rsid w:val="00A74C56"/>
    <w:rsid w:val="00A80C65"/>
    <w:rsid w:val="00A81D7B"/>
    <w:rsid w:val="00A82CD9"/>
    <w:rsid w:val="00AA0745"/>
    <w:rsid w:val="00AC1D74"/>
    <w:rsid w:val="00AE5F62"/>
    <w:rsid w:val="00AF427C"/>
    <w:rsid w:val="00AF428B"/>
    <w:rsid w:val="00B04697"/>
    <w:rsid w:val="00B0759B"/>
    <w:rsid w:val="00B12F80"/>
    <w:rsid w:val="00B16C7A"/>
    <w:rsid w:val="00B218FA"/>
    <w:rsid w:val="00B25817"/>
    <w:rsid w:val="00B43934"/>
    <w:rsid w:val="00B519F9"/>
    <w:rsid w:val="00B532BF"/>
    <w:rsid w:val="00B55210"/>
    <w:rsid w:val="00B63AD5"/>
    <w:rsid w:val="00B66587"/>
    <w:rsid w:val="00B71914"/>
    <w:rsid w:val="00B951A7"/>
    <w:rsid w:val="00BA4B1F"/>
    <w:rsid w:val="00BA6758"/>
    <w:rsid w:val="00BB0B5E"/>
    <w:rsid w:val="00BC4C2F"/>
    <w:rsid w:val="00BD1F3D"/>
    <w:rsid w:val="00BD4D28"/>
    <w:rsid w:val="00BE6CC4"/>
    <w:rsid w:val="00BF3FC1"/>
    <w:rsid w:val="00BF4AC8"/>
    <w:rsid w:val="00BF777E"/>
    <w:rsid w:val="00C05FFC"/>
    <w:rsid w:val="00C16BD7"/>
    <w:rsid w:val="00C207F1"/>
    <w:rsid w:val="00C30851"/>
    <w:rsid w:val="00C6396A"/>
    <w:rsid w:val="00C66EAB"/>
    <w:rsid w:val="00C71CB2"/>
    <w:rsid w:val="00C74DE3"/>
    <w:rsid w:val="00C8393E"/>
    <w:rsid w:val="00C91615"/>
    <w:rsid w:val="00C93147"/>
    <w:rsid w:val="00C93CC0"/>
    <w:rsid w:val="00C94189"/>
    <w:rsid w:val="00CA1FE9"/>
    <w:rsid w:val="00CB6236"/>
    <w:rsid w:val="00CD5F16"/>
    <w:rsid w:val="00CD701D"/>
    <w:rsid w:val="00CD74C6"/>
    <w:rsid w:val="00CD758E"/>
    <w:rsid w:val="00CE0424"/>
    <w:rsid w:val="00CE3EAC"/>
    <w:rsid w:val="00CF0077"/>
    <w:rsid w:val="00CF08D1"/>
    <w:rsid w:val="00D11D5C"/>
    <w:rsid w:val="00D24CEC"/>
    <w:rsid w:val="00D3486B"/>
    <w:rsid w:val="00D45A20"/>
    <w:rsid w:val="00D52D51"/>
    <w:rsid w:val="00D574CA"/>
    <w:rsid w:val="00D5762E"/>
    <w:rsid w:val="00D72361"/>
    <w:rsid w:val="00D72BEB"/>
    <w:rsid w:val="00D94473"/>
    <w:rsid w:val="00DA25C3"/>
    <w:rsid w:val="00DC2922"/>
    <w:rsid w:val="00DD0842"/>
    <w:rsid w:val="00DD3603"/>
    <w:rsid w:val="00DD63B7"/>
    <w:rsid w:val="00DD7A2A"/>
    <w:rsid w:val="00DE4AFE"/>
    <w:rsid w:val="00DE6DB7"/>
    <w:rsid w:val="00DF354A"/>
    <w:rsid w:val="00E0377E"/>
    <w:rsid w:val="00E0638A"/>
    <w:rsid w:val="00E07E3B"/>
    <w:rsid w:val="00E11B9E"/>
    <w:rsid w:val="00E13B94"/>
    <w:rsid w:val="00E1715A"/>
    <w:rsid w:val="00E57864"/>
    <w:rsid w:val="00E64C4D"/>
    <w:rsid w:val="00E7220F"/>
    <w:rsid w:val="00E72BB6"/>
    <w:rsid w:val="00E74ED0"/>
    <w:rsid w:val="00E87B4B"/>
    <w:rsid w:val="00E91D36"/>
    <w:rsid w:val="00E94C76"/>
    <w:rsid w:val="00EA571A"/>
    <w:rsid w:val="00EA6A66"/>
    <w:rsid w:val="00EA7BA1"/>
    <w:rsid w:val="00EB540B"/>
    <w:rsid w:val="00ED23AB"/>
    <w:rsid w:val="00EF1A43"/>
    <w:rsid w:val="00EF4743"/>
    <w:rsid w:val="00F12027"/>
    <w:rsid w:val="00F321F7"/>
    <w:rsid w:val="00F3395F"/>
    <w:rsid w:val="00F339C2"/>
    <w:rsid w:val="00F37D02"/>
    <w:rsid w:val="00F42C74"/>
    <w:rsid w:val="00F5777E"/>
    <w:rsid w:val="00F74D4A"/>
    <w:rsid w:val="00F90AD6"/>
    <w:rsid w:val="00F91B84"/>
    <w:rsid w:val="00F946B4"/>
    <w:rsid w:val="00FA1221"/>
    <w:rsid w:val="00FA1A23"/>
    <w:rsid w:val="00FA705C"/>
    <w:rsid w:val="00FC07D9"/>
    <w:rsid w:val="00FF7F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6DA"/>
    <w:pPr>
      <w:ind w:left="720"/>
      <w:contextualSpacing/>
    </w:pPr>
  </w:style>
  <w:style w:type="paragraph" w:styleId="FootnoteText">
    <w:name w:val="footnote text"/>
    <w:basedOn w:val="Normal"/>
    <w:link w:val="FootnoteTextChar"/>
    <w:uiPriority w:val="99"/>
    <w:semiHidden/>
    <w:unhideWhenUsed/>
    <w:rsid w:val="000C4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6DA"/>
    <w:rPr>
      <w:sz w:val="20"/>
      <w:szCs w:val="20"/>
    </w:rPr>
  </w:style>
  <w:style w:type="character" w:styleId="FootnoteReference">
    <w:name w:val="footnote reference"/>
    <w:basedOn w:val="DefaultParagraphFont"/>
    <w:uiPriority w:val="99"/>
    <w:semiHidden/>
    <w:unhideWhenUsed/>
    <w:rsid w:val="000C46DA"/>
    <w:rPr>
      <w:vertAlign w:val="superscript"/>
    </w:rPr>
  </w:style>
  <w:style w:type="paragraph" w:styleId="Header">
    <w:name w:val="header"/>
    <w:basedOn w:val="Normal"/>
    <w:link w:val="HeaderChar"/>
    <w:uiPriority w:val="99"/>
    <w:semiHidden/>
    <w:unhideWhenUsed/>
    <w:rsid w:val="000A58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58A5"/>
  </w:style>
  <w:style w:type="paragraph" w:styleId="Footer">
    <w:name w:val="footer"/>
    <w:basedOn w:val="Normal"/>
    <w:link w:val="FooterChar"/>
    <w:uiPriority w:val="99"/>
    <w:unhideWhenUsed/>
    <w:rsid w:val="000A5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A5"/>
  </w:style>
</w:styles>
</file>

<file path=word/webSettings.xml><?xml version="1.0" encoding="utf-8"?>
<w:webSettings xmlns:r="http://schemas.openxmlformats.org/officeDocument/2006/relationships" xmlns:w="http://schemas.openxmlformats.org/wordprocessingml/2006/main">
  <w:divs>
    <w:div w:id="614680316">
      <w:bodyDiv w:val="1"/>
      <w:marLeft w:val="0"/>
      <w:marRight w:val="0"/>
      <w:marTop w:val="0"/>
      <w:marBottom w:val="0"/>
      <w:divBdr>
        <w:top w:val="none" w:sz="0" w:space="0" w:color="auto"/>
        <w:left w:val="none" w:sz="0" w:space="0" w:color="auto"/>
        <w:bottom w:val="none" w:sz="0" w:space="0" w:color="auto"/>
        <w:right w:val="none" w:sz="0" w:space="0" w:color="auto"/>
      </w:divBdr>
    </w:div>
    <w:div w:id="15375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70B0-1DE5-4156-A864-E4C90A59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Shepherd</dc:creator>
  <cp:lastModifiedBy>John</cp:lastModifiedBy>
  <cp:revision>2</cp:revision>
  <cp:lastPrinted>2021-04-12T10:14:00Z</cp:lastPrinted>
  <dcterms:created xsi:type="dcterms:W3CDTF">2021-04-12T11:16:00Z</dcterms:created>
  <dcterms:modified xsi:type="dcterms:W3CDTF">2021-04-12T11:16:00Z</dcterms:modified>
</cp:coreProperties>
</file>