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90DBC" w14:textId="77777777" w:rsidR="00A32FF2" w:rsidRDefault="008C353C">
      <w:pPr>
        <w:spacing w:after="100"/>
      </w:pPr>
      <w:r>
        <w:rPr>
          <w:b/>
          <w:bCs/>
          <w:color w:val="1F3864"/>
          <w:sz w:val="40"/>
          <w:szCs w:val="40"/>
        </w:rPr>
        <w:t>Emergency Care in Rural and Coastal Hospitals</w:t>
      </w:r>
    </w:p>
    <w:p w14:paraId="07190DC0" w14:textId="73B61A12" w:rsidR="00A32FF2" w:rsidRDefault="00DC35AF">
      <w:pPr>
        <w:spacing w:after="60"/>
      </w:pPr>
      <w:r>
        <w:rPr>
          <w:i/>
          <w:iCs/>
          <w:color w:val="2E5496"/>
          <w:sz w:val="26"/>
          <w:szCs w:val="26"/>
        </w:rPr>
        <w:t xml:space="preserve"> </w:t>
      </w:r>
    </w:p>
    <w:p w14:paraId="07190DC1" w14:textId="77777777" w:rsidR="00A32FF2" w:rsidRDefault="00A32FF2">
      <w:pPr>
        <w:pBdr>
          <w:bottom w:val="single" w:sz="4" w:space="1" w:color="2E5496"/>
        </w:pBdr>
        <w:spacing w:before="80" w:after="240"/>
      </w:pPr>
    </w:p>
    <w:p w14:paraId="07190DC2" w14:textId="77777777" w:rsidR="00A32FF2" w:rsidRDefault="008C353C">
      <w:pPr>
        <w:pStyle w:val="Heading1"/>
      </w:pPr>
      <w:r>
        <w:t>Key Messages</w:t>
      </w:r>
    </w:p>
    <w:p w14:paraId="07190DC3" w14:textId="1CC1D75C" w:rsidR="00A32FF2" w:rsidRDefault="008C353C">
      <w:pPr>
        <w:spacing w:after="160"/>
      </w:pPr>
      <w:r>
        <w:t xml:space="preserve">Emergency services in smaller rural and coastal hospitals are under pressure from structural forces that mainstream NHS policy has not adequately acknowledged or addressed. The dominant </w:t>
      </w:r>
      <w:r w:rsidR="00D835A3">
        <w:t>discourse</w:t>
      </w:r>
      <w:r>
        <w:t xml:space="preserve"> </w:t>
      </w:r>
      <w:r w:rsidR="00D835A3">
        <w:t>often sees</w:t>
      </w:r>
      <w:r>
        <w:t xml:space="preserve"> smaller hospitals as inefficient outliers to be rationalised </w:t>
      </w:r>
      <w:r w:rsidR="00D835A3">
        <w:t>into</w:t>
      </w:r>
      <w:r>
        <w:t xml:space="preserve"> larger </w:t>
      </w:r>
      <w:proofErr w:type="gramStart"/>
      <w:r>
        <w:t>centres</w:t>
      </w:r>
      <w:r w:rsidR="003001DB">
        <w:t>,</w:t>
      </w:r>
      <w:proofErr w:type="gramEnd"/>
      <w:r w:rsidR="003001DB">
        <w:t xml:space="preserve"> this is </w:t>
      </w:r>
      <w:r>
        <w:t xml:space="preserve">empirically questionable and </w:t>
      </w:r>
      <w:r w:rsidR="003001DB">
        <w:t>often impractical</w:t>
      </w:r>
      <w:r>
        <w:t>. There is a strong case for a differentiated policy approach that recognises the distinctive economics, workforce dynamics, and service models appropriate to rural and coastal settings.</w:t>
      </w:r>
    </w:p>
    <w:p w14:paraId="07190DC4" w14:textId="0CC69C36" w:rsidR="00A32FF2" w:rsidRDefault="008C353C">
      <w:pPr>
        <w:spacing w:after="80"/>
      </w:pPr>
      <w:r>
        <w:t>Five propositions follow from the evidence considered at a recent seminar convened by the National Centre for Rural Health and Care</w:t>
      </w:r>
      <w:r w:rsidR="00155C32">
        <w:t>, convened with the support of the SW Region of NHS England</w:t>
      </w:r>
      <w:r>
        <w:t>:</w:t>
      </w:r>
    </w:p>
    <w:p w14:paraId="07190DC5" w14:textId="77777777" w:rsidR="00A32FF2" w:rsidRDefault="008C353C">
      <w:pPr>
        <w:pStyle w:val="ListParagraph"/>
        <w:numPr>
          <w:ilvl w:val="0"/>
          <w:numId w:val="2"/>
        </w:numPr>
        <w:spacing w:after="80"/>
      </w:pPr>
      <w:r>
        <w:t>The case for centralisation is overstated and the full costs to patients, to communities, and to the wider system are consistently undercounted.</w:t>
      </w:r>
    </w:p>
    <w:p w14:paraId="07190DC6" w14:textId="77777777" w:rsidR="00A32FF2" w:rsidRDefault="008C353C">
      <w:pPr>
        <w:pStyle w:val="ListParagraph"/>
        <w:numPr>
          <w:ilvl w:val="0"/>
          <w:numId w:val="2"/>
        </w:numPr>
        <w:spacing w:after="80"/>
      </w:pPr>
      <w:r>
        <w:t>Workforce policy is the most urgent variable: the NHS is training clinicians for large-centre subspecialty practice and has made inadequate provision for the generalist capacity that smaller hospitals require.</w:t>
      </w:r>
    </w:p>
    <w:p w14:paraId="07190DC7" w14:textId="77777777" w:rsidR="00A32FF2" w:rsidRDefault="008C353C">
      <w:pPr>
        <w:pStyle w:val="ListParagraph"/>
        <w:numPr>
          <w:ilvl w:val="0"/>
          <w:numId w:val="2"/>
        </w:numPr>
        <w:spacing w:after="80"/>
      </w:pPr>
      <w:r>
        <w:t xml:space="preserve">Clinical standards frameworks have been designed for urban teaching hospitals </w:t>
      </w:r>
      <w:proofErr w:type="gramStart"/>
      <w:r>
        <w:t>and,</w:t>
      </w:r>
      <w:proofErr w:type="gramEnd"/>
      <w:r>
        <w:t xml:space="preserve"> as applied through regulation, can accelerate the decline of services that are in practice safe and effective.</w:t>
      </w:r>
    </w:p>
    <w:p w14:paraId="07190DC8" w14:textId="4CBBC9BA" w:rsidR="00A32FF2" w:rsidRDefault="008C353C">
      <w:pPr>
        <w:pStyle w:val="ListParagraph"/>
        <w:numPr>
          <w:ilvl w:val="0"/>
          <w:numId w:val="2"/>
        </w:numPr>
        <w:spacing w:after="80"/>
      </w:pPr>
      <w:r>
        <w:t xml:space="preserve">The financial architecture does not </w:t>
      </w:r>
      <w:r w:rsidR="00B13496">
        <w:t xml:space="preserve">fully </w:t>
      </w:r>
      <w:r>
        <w:t>reflect the structural cost of small-scale provision</w:t>
      </w:r>
      <w:r w:rsidR="00155C32">
        <w:t>.</w:t>
      </w:r>
      <w:r w:rsidR="004A2237">
        <w:t xml:space="preserve"> </w:t>
      </w:r>
      <w:r w:rsidR="00155C32">
        <w:t>There may be</w:t>
      </w:r>
      <w:r w:rsidR="004A2237">
        <w:t xml:space="preserve"> </w:t>
      </w:r>
      <w:r w:rsidR="001400CC">
        <w:t>other unavoidable costs that result from the impact of distance and sparsity</w:t>
      </w:r>
      <w:r w:rsidR="005559CE">
        <w:t>.</w:t>
      </w:r>
      <w:r w:rsidR="001400CC">
        <w:t xml:space="preserve"> </w:t>
      </w:r>
    </w:p>
    <w:p w14:paraId="07190DC9" w14:textId="5AF8F1C4" w:rsidR="00A32FF2" w:rsidRDefault="008C353C">
      <w:pPr>
        <w:pStyle w:val="ListParagraph"/>
        <w:numPr>
          <w:ilvl w:val="0"/>
          <w:numId w:val="2"/>
        </w:numPr>
        <w:spacing w:after="80"/>
      </w:pPr>
      <w:r>
        <w:t xml:space="preserve">There is significant innovation already occurring in these organisations; it is </w:t>
      </w:r>
      <w:r w:rsidR="009149E8">
        <w:t>under documented</w:t>
      </w:r>
      <w:r>
        <w:t xml:space="preserve">, </w:t>
      </w:r>
      <w:r w:rsidR="009149E8">
        <w:t>under disseminated</w:t>
      </w:r>
      <w:r>
        <w:t>, and underused as the basis for national policy development.</w:t>
      </w:r>
    </w:p>
    <w:p w14:paraId="2A7ACB03" w14:textId="77777777" w:rsidR="008715CD" w:rsidRDefault="008715CD" w:rsidP="008715CD">
      <w:pPr>
        <w:spacing w:after="80"/>
      </w:pPr>
    </w:p>
    <w:p w14:paraId="34BB3339" w14:textId="3DF93AC6" w:rsidR="008715CD" w:rsidRDefault="008715CD" w:rsidP="008715CD">
      <w:pPr>
        <w:spacing w:after="80"/>
      </w:pPr>
      <w:r>
        <w:t xml:space="preserve">Some of the discussion of the potential solutions </w:t>
      </w:r>
      <w:r w:rsidR="002146C6">
        <w:t xml:space="preserve">includes ideas that require further development, the creation of new training programmes, changes in regulation and other obstacles but they are presented here because it is increasingly clear that some of the problems faced by smaller hospitals are not solvable within the self-imposed constraints set up in the UK.  </w:t>
      </w:r>
    </w:p>
    <w:p w14:paraId="07190DCA" w14:textId="77777777" w:rsidR="00A32FF2" w:rsidRDefault="00A32FF2">
      <w:pPr>
        <w:pBdr>
          <w:bottom w:val="single" w:sz="4" w:space="1" w:color="2E5496"/>
        </w:pBdr>
        <w:spacing w:before="80" w:after="240"/>
      </w:pPr>
    </w:p>
    <w:p w14:paraId="07190DCB" w14:textId="77777777" w:rsidR="00A32FF2" w:rsidRDefault="008C353C">
      <w:pPr>
        <w:pStyle w:val="Heading1"/>
      </w:pPr>
      <w:r>
        <w:t>The Problem Is Larger Than It Appears</w:t>
      </w:r>
    </w:p>
    <w:p w14:paraId="07190DCC" w14:textId="4FE7B269" w:rsidR="00A32FF2" w:rsidRDefault="008C353C">
      <w:pPr>
        <w:spacing w:after="160"/>
      </w:pPr>
      <w:r>
        <w:t xml:space="preserve">Over half of hospital care in England is delivered by smaller organisations. This proportion is larger than it looks on the surface, because of </w:t>
      </w:r>
      <w:r w:rsidR="00890297">
        <w:t>the number of trust</w:t>
      </w:r>
      <w:r>
        <w:t xml:space="preserve"> mergers and group formations has obscured how many sites within </w:t>
      </w:r>
      <w:r w:rsidR="00890297">
        <w:t>apparently</w:t>
      </w:r>
      <w:r>
        <w:t xml:space="preserve"> large trusts are in practice small hospitals facing all the difficulties associated with limited scale. The problems of rural and coastal hospitals are therefore not a peripheral concern.</w:t>
      </w:r>
    </w:p>
    <w:p w14:paraId="07190DCD" w14:textId="58063FA2" w:rsidR="00A32FF2" w:rsidRDefault="00594460">
      <w:pPr>
        <w:spacing w:after="160"/>
      </w:pPr>
      <w:r>
        <w:t>As the CMO has pointed out the populations in rural and coastal areas tend to be older, more isolated, and in many coastal areas, significantly more deprived. Coastal geography creates an additional structural constraint that is rarely acknowledged in planning: a hospital on the coast may have half or more of its theoretical catchment area facing the sea. The scope to increase patient volumes to offset the fixed costs of maintaining a viable service is therefore inherently limited in ways that no amount of operational efficiency can overcome.</w:t>
      </w:r>
    </w:p>
    <w:p w14:paraId="07190DCE" w14:textId="77777777" w:rsidR="00A32FF2" w:rsidRDefault="008C353C">
      <w:pPr>
        <w:spacing w:after="160"/>
      </w:pPr>
      <w:r>
        <w:t>The typical challenges are well known to those working in this sector, but their systemic character tends to be underplayed in national policy discussion:</w:t>
      </w:r>
    </w:p>
    <w:p w14:paraId="07190DCF" w14:textId="77777777" w:rsidR="00A32FF2" w:rsidRDefault="008C353C">
      <w:pPr>
        <w:pStyle w:val="ListParagraph"/>
        <w:numPr>
          <w:ilvl w:val="0"/>
          <w:numId w:val="2"/>
        </w:numPr>
        <w:spacing w:after="80"/>
      </w:pPr>
      <w:r>
        <w:t>Indivisible inputs (overnight anaesthetic cover, on-call surgical rotas, CT scanners, specialist nursing) come in units of one and must be maintained regardless of patient volume. Unit costs will therefore structurally exceed those of large urban hospitals, and this reflects a real economic constraint, not poor management.</w:t>
      </w:r>
    </w:p>
    <w:p w14:paraId="07190DD0" w14:textId="7EE3F6F6" w:rsidR="00A32FF2" w:rsidRDefault="008C353C">
      <w:pPr>
        <w:pStyle w:val="ListParagraph"/>
        <w:numPr>
          <w:ilvl w:val="0"/>
          <w:numId w:val="2"/>
        </w:numPr>
        <w:spacing w:after="80"/>
      </w:pPr>
      <w:r>
        <w:t xml:space="preserve">The proliferation of sub-specialist rotas within hospital medicine has created a fragmentation problem that is acute for smaller hospitals. Carving consultants out of the general internal medicine take to staff separate GI bleeding, stroke thrombolysis, and other specialist rotas reduces the remaining rota to an unsustainable size, increases on-call intensity, and makes posts less attractive at precisely the moment that patient complexity is increasing and general medicine patients are becoming more </w:t>
      </w:r>
      <w:r w:rsidR="00CD1B84">
        <w:t>complex and requiring more generalist skills</w:t>
      </w:r>
      <w:r>
        <w:t>.</w:t>
      </w:r>
    </w:p>
    <w:p w14:paraId="07190DD1" w14:textId="77777777" w:rsidR="00A32FF2" w:rsidRDefault="008C353C">
      <w:pPr>
        <w:pStyle w:val="ListParagraph"/>
        <w:numPr>
          <w:ilvl w:val="0"/>
          <w:numId w:val="2"/>
        </w:numPr>
        <w:spacing w:after="80"/>
      </w:pPr>
      <w:r>
        <w:t>Hospital-at-home and virtual ward models, which are central to NHS demand management strategy, are more expensive to operate in rural areas because travel time between patients reduces caseload and because distance changes clinicians' risk threshold for managing patients in the community. These cost differentials are not reflected in the payment model.</w:t>
      </w:r>
    </w:p>
    <w:p w14:paraId="5CB26525" w14:textId="1219B270" w:rsidR="005559CE" w:rsidRDefault="005559CE">
      <w:pPr>
        <w:pStyle w:val="ListParagraph"/>
        <w:numPr>
          <w:ilvl w:val="0"/>
          <w:numId w:val="2"/>
        </w:numPr>
        <w:spacing w:after="80"/>
      </w:pPr>
      <w:r>
        <w:t>There may be a lower tolerance for risk in making admission and discharge decisions due to the distances that patients need to travel if they deteriorate.</w:t>
      </w:r>
    </w:p>
    <w:p w14:paraId="07190DD2" w14:textId="3CD66B58" w:rsidR="00A32FF2" w:rsidRDefault="008C353C">
      <w:pPr>
        <w:pStyle w:val="ListParagraph"/>
        <w:numPr>
          <w:ilvl w:val="0"/>
          <w:numId w:val="2"/>
        </w:numPr>
        <w:spacing w:after="80"/>
      </w:pPr>
      <w:r>
        <w:t>Th</w:t>
      </w:r>
      <w:r w:rsidR="009C2553">
        <w:t xml:space="preserve">ere is </w:t>
      </w:r>
      <w:r>
        <w:t xml:space="preserve">inadequate provision for the genuine structural cost premium of rural and coastal provision. Several comparator countries (Australia, France, Germany, and others) operate explicit rural hospital subsidies to compensate for this; England </w:t>
      </w:r>
      <w:r w:rsidR="005559CE">
        <w:t>only does this for a small number of hospitals</w:t>
      </w:r>
      <w:r>
        <w:t>.</w:t>
      </w:r>
    </w:p>
    <w:p w14:paraId="07190DD3" w14:textId="77777777" w:rsidR="00A32FF2" w:rsidRDefault="00A32FF2">
      <w:pPr>
        <w:pBdr>
          <w:bottom w:val="single" w:sz="4" w:space="1" w:color="2E5496"/>
        </w:pBdr>
        <w:spacing w:before="80" w:after="240"/>
      </w:pPr>
    </w:p>
    <w:p w14:paraId="07190DD4" w14:textId="351008EB" w:rsidR="00A32FF2" w:rsidRDefault="008C353C">
      <w:pPr>
        <w:pStyle w:val="Heading1"/>
      </w:pPr>
      <w:r>
        <w:t xml:space="preserve">The Costs of </w:t>
      </w:r>
      <w:r w:rsidR="006D578A">
        <w:t>c</w:t>
      </w:r>
      <w:r>
        <w:t xml:space="preserve">entralisation </w:t>
      </w:r>
      <w:r w:rsidR="006D578A">
        <w:t>may be</w:t>
      </w:r>
      <w:r>
        <w:t xml:space="preserve"> </w:t>
      </w:r>
      <w:r w:rsidR="006D578A">
        <w:t>u</w:t>
      </w:r>
      <w:r>
        <w:t>nder</w:t>
      </w:r>
      <w:r w:rsidR="0033718D">
        <w:t>estimated</w:t>
      </w:r>
    </w:p>
    <w:p w14:paraId="07190DD5" w14:textId="03EFB7FA" w:rsidR="00A32FF2" w:rsidRDefault="008C353C">
      <w:pPr>
        <w:spacing w:after="160"/>
      </w:pPr>
      <w:r>
        <w:t>The case for centralising services away from smaller hospitals rests on a real but frequently overstated argument about economies of scale and volume-outcome relationships. There are areas of clinical practice where the evidence of volume-outcome relationships is strong and where centralisation is clearly appropriate, with highly complex cancer surgery being the most cited example. But the relationship does not generalise to the bulk of general emergency medicine, where even smaller hospitals see sufficient</w:t>
      </w:r>
      <w:r>
        <w:t xml:space="preserve"> volumes of common presentations </w:t>
      </w:r>
      <w:r>
        <w:t xml:space="preserve">to sustain quality, </w:t>
      </w:r>
      <w:r w:rsidR="00FB790B">
        <w:t xml:space="preserve">as well as respond to rarer cases </w:t>
      </w:r>
      <w:r>
        <w:t>provided clinicians remain connected to the broader medical network</w:t>
      </w:r>
      <w:r w:rsidR="009C79F3">
        <w:t xml:space="preserve"> and can quickly access specialist advice</w:t>
      </w:r>
      <w:r>
        <w:t>.</w:t>
      </w:r>
    </w:p>
    <w:p w14:paraId="07190DD6" w14:textId="77777777" w:rsidR="00A32FF2" w:rsidRDefault="008C353C">
      <w:pPr>
        <w:spacing w:after="160"/>
      </w:pPr>
      <w:r>
        <w:t>The costs imposed by centralisation tend not to be fully entered into the analysis:</w:t>
      </w:r>
    </w:p>
    <w:p w14:paraId="07190DD7" w14:textId="06BE1120" w:rsidR="00A32FF2" w:rsidRDefault="008C353C">
      <w:pPr>
        <w:pStyle w:val="ListParagraph"/>
        <w:numPr>
          <w:ilvl w:val="0"/>
          <w:numId w:val="2"/>
        </w:numPr>
        <w:spacing w:after="80"/>
      </w:pPr>
      <w:r>
        <w:t xml:space="preserve">Transfer risk: patients being transferred between sites face genuine clinical risk, which is compounded when the transferring hospital cannot release medical or nursing staff to accompany the transfer, and when ambulance response to the transfer request is slow. Some hospitals have been obliged to </w:t>
      </w:r>
      <w:r w:rsidR="004829A7">
        <w:t>operate</w:t>
      </w:r>
      <w:r>
        <w:t xml:space="preserve"> their own ambulance services to manage this.</w:t>
      </w:r>
    </w:p>
    <w:p w14:paraId="57AA0560" w14:textId="77777777" w:rsidR="00FB707E" w:rsidRDefault="008C353C">
      <w:pPr>
        <w:pStyle w:val="ListParagraph"/>
        <w:numPr>
          <w:ilvl w:val="0"/>
          <w:numId w:val="2"/>
        </w:numPr>
        <w:spacing w:after="80"/>
      </w:pPr>
      <w:r>
        <w:t>Receiving centre busyness: increased referral load to larger centres raises occupancy and throughput pressure. There is robust evidence that emergency department busyness is associated with higher mortality</w:t>
      </w:r>
      <w:r w:rsidR="00FB707E">
        <w:t>.</w:t>
      </w:r>
    </w:p>
    <w:p w14:paraId="07190DD8" w14:textId="48500773" w:rsidR="00A32FF2" w:rsidRDefault="00FB707E">
      <w:pPr>
        <w:pStyle w:val="ListParagraph"/>
        <w:numPr>
          <w:ilvl w:val="0"/>
          <w:numId w:val="2"/>
        </w:numPr>
        <w:spacing w:after="80"/>
      </w:pPr>
      <w:r>
        <w:t>There may be diseconomies of complexity in large hospitals that increase with scale.</w:t>
      </w:r>
    </w:p>
    <w:p w14:paraId="07190DD9" w14:textId="03D3E5B4" w:rsidR="00A32FF2" w:rsidRDefault="008C353C">
      <w:pPr>
        <w:pStyle w:val="ListParagraph"/>
        <w:numPr>
          <w:ilvl w:val="0"/>
          <w:numId w:val="2"/>
        </w:numPr>
        <w:spacing w:after="80"/>
      </w:pPr>
      <w:r>
        <w:t xml:space="preserve">Community and system effects: the loss of a district hospital </w:t>
      </w:r>
      <w:r w:rsidR="00B37C80">
        <w:t>can</w:t>
      </w:r>
      <w:r>
        <w:t xml:space="preserve"> </w:t>
      </w:r>
      <w:r w:rsidR="00B37C80">
        <w:t>a</w:t>
      </w:r>
      <w:r>
        <w:t>ffect GP recruitment and retention in the local area</w:t>
      </w:r>
      <w:r w:rsidR="004B7473">
        <w:t xml:space="preserve"> </w:t>
      </w:r>
      <w:r>
        <w:t xml:space="preserve">and </w:t>
      </w:r>
      <w:r w:rsidR="004B7473">
        <w:t xml:space="preserve">will have a serious adverse impact </w:t>
      </w:r>
      <w:r>
        <w:t>on the economic health of the local community. Evidence from Australia suggests that hospital closure significantly increases GP workload and reduces the viability of surrounding primary care. The</w:t>
      </w:r>
      <w:r w:rsidR="00525C93">
        <w:t>re is an</w:t>
      </w:r>
      <w:r>
        <w:t xml:space="preserve"> analogy to </w:t>
      </w:r>
      <w:r w:rsidR="00525C93">
        <w:t xml:space="preserve">the impact of the </w:t>
      </w:r>
      <w:r>
        <w:t>closure</w:t>
      </w:r>
      <w:r w:rsidR="00525C93">
        <w:t xml:space="preserve"> of a major local industry</w:t>
      </w:r>
      <w:r>
        <w:t xml:space="preserve">, with its long tail of deprivation and health </w:t>
      </w:r>
      <w:proofErr w:type="gramStart"/>
      <w:r>
        <w:t>consequence</w:t>
      </w:r>
      <w:r w:rsidR="00525C93">
        <w:t>.</w:t>
      </w:r>
      <w:r>
        <w:t>.</w:t>
      </w:r>
      <w:proofErr w:type="gramEnd"/>
    </w:p>
    <w:p w14:paraId="07190DDA" w14:textId="3BBB31F4" w:rsidR="00A32FF2" w:rsidRDefault="008C353C">
      <w:pPr>
        <w:pStyle w:val="ListParagraph"/>
        <w:numPr>
          <w:ilvl w:val="0"/>
          <w:numId w:val="2"/>
        </w:numPr>
        <w:spacing w:after="80"/>
      </w:pPr>
      <w:r>
        <w:t xml:space="preserve">Capital requirements: centralising emergency services may require very large capital investments in the receiving centre </w:t>
      </w:r>
      <w:r w:rsidR="00525C93">
        <w:t>and in ambulance services</w:t>
      </w:r>
      <w:r>
        <w:t>.</w:t>
      </w:r>
    </w:p>
    <w:p w14:paraId="07190DDB" w14:textId="77777777" w:rsidR="00A32FF2" w:rsidRDefault="008C353C">
      <w:pPr>
        <w:spacing w:after="160"/>
      </w:pPr>
      <w:r>
        <w:t>The pattern that follows extended centralisation is a slow local decline in staffing, capability, and reputation that makes recruitment harder, which accelerates decline further. Breaking this cycle is substantially more difficult than preventing it.</w:t>
      </w:r>
    </w:p>
    <w:p w14:paraId="07190DDC" w14:textId="77777777" w:rsidR="00A32FF2" w:rsidRDefault="00A32FF2">
      <w:pPr>
        <w:pBdr>
          <w:bottom w:val="single" w:sz="4" w:space="1" w:color="2E5496"/>
        </w:pBdr>
        <w:spacing w:before="80" w:after="240"/>
      </w:pPr>
    </w:p>
    <w:p w14:paraId="07190DDD" w14:textId="77777777" w:rsidR="00A32FF2" w:rsidRDefault="008C353C">
      <w:pPr>
        <w:pStyle w:val="Heading1"/>
      </w:pPr>
      <w:r>
        <w:t>Workforce: The Central Challenge</w:t>
      </w:r>
    </w:p>
    <w:p w14:paraId="07190DDE" w14:textId="7F1C15B9" w:rsidR="00A32FF2" w:rsidRDefault="008C353C">
      <w:pPr>
        <w:spacing w:after="160"/>
      </w:pPr>
      <w:r>
        <w:t xml:space="preserve">Workforce is the most immediate and the most difficult problem facing emergency services in rural and coastal hospitals. The NHS training system is </w:t>
      </w:r>
      <w:r w:rsidR="00DC35AF">
        <w:t xml:space="preserve">seen as </w:t>
      </w:r>
      <w:r>
        <w:t>producing clinicians who are optimised for large-centre subspecialty practice</w:t>
      </w:r>
      <w:r w:rsidR="00DC35AF">
        <w:t>. T</w:t>
      </w:r>
      <w:r>
        <w:t>hey are trained in high-volume environments</w:t>
      </w:r>
      <w:r w:rsidR="00DC35AF">
        <w:t xml:space="preserve"> especially in the final years of their training</w:t>
      </w:r>
      <w:r>
        <w:t>, develop narrow clinical interests, and seek employment in hospitals where rota intensity is lower and subspecialty activity more abundant. The requirements of a rural or coastal district general hospital run directly counter to this: it needs clinicians with wide clinical scope, a tolerance for uncertainty, and a willingness to w</w:t>
      </w:r>
      <w:r>
        <w:t xml:space="preserve">ork at higher </w:t>
      </w:r>
      <w:r w:rsidR="00157582">
        <w:t>frequency</w:t>
      </w:r>
      <w:r>
        <w:t xml:space="preserve"> on call.</w:t>
      </w:r>
    </w:p>
    <w:p w14:paraId="07190DDF" w14:textId="77777777" w:rsidR="00A32FF2" w:rsidRDefault="008C353C">
      <w:pPr>
        <w:spacing w:after="160"/>
      </w:pPr>
      <w:r>
        <w:t>Several dimensions of this workforce challenge were identified:</w:t>
      </w:r>
    </w:p>
    <w:p w14:paraId="07190DE0" w14:textId="77777777" w:rsidR="00A32FF2" w:rsidRDefault="008C353C">
      <w:pPr>
        <w:pStyle w:val="Heading2"/>
      </w:pPr>
      <w:r>
        <w:t>Rota fragility and retirement risk</w:t>
      </w:r>
    </w:p>
    <w:p w14:paraId="07190DE1" w14:textId="2A560C02" w:rsidR="00A32FF2" w:rsidRDefault="008C353C">
      <w:pPr>
        <w:spacing w:after="160"/>
      </w:pPr>
      <w:r>
        <w:t xml:space="preserve">Many rural and coastal hospitals are running services that depend on a small group of long-standing consultants whose accumulated experience and mutual trust keeps the rota viable. The retirement of two or three individuals from a small team can be sufficient to make a service undeliverable. Trainees currently coming through may not be willing to take on the breadth of clinical responsibility that these posts require. Succession planning </w:t>
      </w:r>
      <w:r w:rsidR="00083D2B">
        <w:t>needs a more strategic approach</w:t>
      </w:r>
      <w:r w:rsidR="00656D4F">
        <w:t xml:space="preserve"> and if </w:t>
      </w:r>
      <w:proofErr w:type="gramStart"/>
      <w:r w:rsidR="00656D4F">
        <w:t>possible</w:t>
      </w:r>
      <w:proofErr w:type="gramEnd"/>
      <w:r w:rsidR="00656D4F">
        <w:t xml:space="preserve"> more senior trainees should have the opportunity to work in these settings</w:t>
      </w:r>
      <w:r>
        <w:t>.</w:t>
      </w:r>
    </w:p>
    <w:p w14:paraId="07190DE2" w14:textId="77777777" w:rsidR="00A32FF2" w:rsidRDefault="008C353C">
      <w:pPr>
        <w:pStyle w:val="Heading2"/>
      </w:pPr>
      <w:r>
        <w:t>Professional drift</w:t>
      </w:r>
    </w:p>
    <w:p w14:paraId="07190DE3" w14:textId="2C60FA1F" w:rsidR="00A32FF2" w:rsidRDefault="001B18BA">
      <w:pPr>
        <w:spacing w:after="160"/>
      </w:pPr>
      <w:r>
        <w:t xml:space="preserve">There are risks from professional isolation in terms of having exposure to rare cases and keeping up to date. This is a quality risk and also a recruitment risk as services perceived as professionally isolated struggle to attract </w:t>
      </w:r>
      <w:r w:rsidR="006364E1">
        <w:t>staff</w:t>
      </w:r>
      <w:r>
        <w:t xml:space="preserve">. The problem is not unique to islands, though it is </w:t>
      </w:r>
      <w:r w:rsidR="006364E1">
        <w:t xml:space="preserve">most acute </w:t>
      </w:r>
      <w:r>
        <w:t>there.</w:t>
      </w:r>
      <w:r w:rsidR="00B61393">
        <w:t xml:space="preserve">  Larger centres need to be able provide opportunities for </w:t>
      </w:r>
      <w:r w:rsidR="00B40D64">
        <w:t xml:space="preserve">staff to rotate through and be able to provide </w:t>
      </w:r>
      <w:r w:rsidR="006364E1">
        <w:t xml:space="preserve">opportunities for more senior trainees </w:t>
      </w:r>
      <w:r w:rsidR="005E4082">
        <w:t xml:space="preserve">and consultants to work with the smaller and remote providers in their wider catchment area.  </w:t>
      </w:r>
    </w:p>
    <w:p w14:paraId="07190DE4" w14:textId="77777777" w:rsidR="00A32FF2" w:rsidRDefault="008C353C">
      <w:pPr>
        <w:pStyle w:val="Heading2"/>
      </w:pPr>
      <w:r>
        <w:t>Over-specialisation and the generalist deficit</w:t>
      </w:r>
    </w:p>
    <w:p w14:paraId="07190DE5" w14:textId="37C6245B" w:rsidR="00A32FF2" w:rsidRDefault="008C353C">
      <w:pPr>
        <w:spacing w:after="160"/>
      </w:pPr>
      <w:r>
        <w:t>At the same time that clinical practice is becoming more specialised, the patients presenting to emergency and acute medical services are becoming more medically complex and multi-morbid, and in that sense more general. The mismatch between the workforce the system is producing and the workforce it needs is sharpest in smaller hospitals. There is a specific and practical question about whether separate specialist rotas for conditions such as GI bleed</w:t>
      </w:r>
      <w:r w:rsidR="005E4082">
        <w:t>s</w:t>
      </w:r>
      <w:r>
        <w:t xml:space="preserve"> and stroke thrombolysis are necessary or whether the same clinical need could be met through alternative means (retainer contracts with specialist providers, telemedicine support, network arrangements) without reducing the medical take rota to an unworkable size.</w:t>
      </w:r>
    </w:p>
    <w:p w14:paraId="07190DE6" w14:textId="77777777" w:rsidR="00A32FF2" w:rsidRDefault="008C353C">
      <w:pPr>
        <w:pStyle w:val="Heading2"/>
      </w:pPr>
      <w:r>
        <w:t>The SAS doctor question</w:t>
      </w:r>
    </w:p>
    <w:p w14:paraId="07190DE7" w14:textId="5AE1CDFA" w:rsidR="00A32FF2" w:rsidRDefault="008C353C">
      <w:pPr>
        <w:spacing w:after="160"/>
      </w:pPr>
      <w:r>
        <w:t xml:space="preserve">SAS (specialist and associate specialist) doctors are underused as a structural resource in smaller hospitals. Experienced SAS doctors, many with broad clinical backgrounds, are </w:t>
      </w:r>
      <w:r w:rsidR="00BD5DC1">
        <w:t xml:space="preserve">often </w:t>
      </w:r>
      <w:r>
        <w:t>well placed to provide the flexible, cross-departmental cover that these hospitals need. A number of hospitals have developed successful models in which SAS doctors carry portfolio roles across ITU, general medicine, rehabilitation, and other services. However, national workforce planning remains focused on the consultant pipeline, and the potential of SAS doctors to constitute the generalist backbone of smaller hospital medical staffing has not been systematically addressed.</w:t>
      </w:r>
    </w:p>
    <w:p w14:paraId="07190DE8" w14:textId="77777777" w:rsidR="00A32FF2" w:rsidRDefault="008C353C">
      <w:pPr>
        <w:pStyle w:val="Heading2"/>
      </w:pPr>
      <w:r>
        <w:t>Emerging solutions</w:t>
      </w:r>
    </w:p>
    <w:p w14:paraId="07190DE9" w14:textId="77777777" w:rsidR="00A32FF2" w:rsidRDefault="008C353C">
      <w:pPr>
        <w:spacing w:after="160"/>
      </w:pPr>
      <w:r>
        <w:t>Several models have demonstrated promise and deserve wider dissemination and evaluation:</w:t>
      </w:r>
    </w:p>
    <w:p w14:paraId="07190DEA" w14:textId="77777777" w:rsidR="00A32FF2" w:rsidRDefault="008C353C">
      <w:pPr>
        <w:pStyle w:val="ListParagraph"/>
        <w:numPr>
          <w:ilvl w:val="0"/>
          <w:numId w:val="2"/>
        </w:numPr>
        <w:spacing w:after="80"/>
      </w:pPr>
      <w:r>
        <w:t>County-wide or regional team models, in which clinicians are employed as members of a multi-site team rather than anchored to a single hospital. This has been used successfully for critical care and paediatrics, enabling the creation of posts that are professionally richer and more sustainable than single-site equivalents, and that have proven more attractive to new consultants.</w:t>
      </w:r>
    </w:p>
    <w:p w14:paraId="07190DEB" w14:textId="2CB184C4" w:rsidR="00A32FF2" w:rsidRDefault="008C353C">
      <w:pPr>
        <w:pStyle w:val="ListParagraph"/>
        <w:numPr>
          <w:ilvl w:val="0"/>
          <w:numId w:val="2"/>
        </w:numPr>
        <w:spacing w:after="80"/>
      </w:pPr>
      <w:r>
        <w:t xml:space="preserve">Overseas SAS recruitment combined with structured </w:t>
      </w:r>
      <w:r w:rsidRPr="00CE601E">
        <w:t>support</w:t>
      </w:r>
      <w:r w:rsidR="00CE601E">
        <w:t xml:space="preserve"> to take the Portfolio Pathway (previously called CESR)</w:t>
      </w:r>
      <w:r>
        <w:t>, enabling experienced overseas doctors to achieve specialist registration and progress to consultant posts while remaining in post. Several hospitals report that the combination of a good working environment, support</w:t>
      </w:r>
      <w:r w:rsidR="002E2538">
        <w:t xml:space="preserve"> to complete CCTs</w:t>
      </w:r>
      <w:r>
        <w:t>, and local ties, including children in school and established social connections, makes retention highly effective.</w:t>
      </w:r>
    </w:p>
    <w:p w14:paraId="07190DEC" w14:textId="77777777" w:rsidR="00A32FF2" w:rsidRDefault="008C353C">
      <w:pPr>
        <w:pStyle w:val="ListParagraph"/>
        <w:numPr>
          <w:ilvl w:val="0"/>
          <w:numId w:val="2"/>
        </w:numPr>
        <w:spacing w:after="80"/>
      </w:pPr>
      <w:r>
        <w:t>Train-to-retain approaches targeting medical graduates who have connections to rural or coastal areas, building on evidence that people trained in the areas from which they come are more likely to return to practise there. There are relevant international models, notably the work of Roger Strasser, which start training in general practice and community settings and recruit from rural populations.</w:t>
      </w:r>
    </w:p>
    <w:p w14:paraId="07190DED" w14:textId="77777777" w:rsidR="00A32FF2" w:rsidRDefault="008C353C">
      <w:pPr>
        <w:pStyle w:val="ListParagraph"/>
        <w:numPr>
          <w:ilvl w:val="0"/>
          <w:numId w:val="2"/>
        </w:numPr>
        <w:spacing w:after="80"/>
      </w:pPr>
      <w:r>
        <w:t>Credentialing frameworks drawing on NHS Scotland experience, which have enabled GPs and emergency physicians to extend their clinical scope into hospital medicine and to carry cross-departmental responsibilities. The application of these frameworks to rural English and Welsh hospitals is at an early stage.</w:t>
      </w:r>
    </w:p>
    <w:p w14:paraId="07190DEE" w14:textId="77777777" w:rsidR="00A32FF2" w:rsidRDefault="008C353C">
      <w:pPr>
        <w:pStyle w:val="ListParagraph"/>
        <w:numPr>
          <w:ilvl w:val="0"/>
          <w:numId w:val="2"/>
        </w:numPr>
        <w:spacing w:after="80"/>
      </w:pPr>
      <w:r>
        <w:t>Extended emergency department models, in which a strengthened ED team functions as the hub of out-of-hours hospital cover, reaching into medical and surgical wards rather than operating as a distinct front-door function. This is conceptually related to the hospitalist model common in North American practice.</w:t>
      </w:r>
    </w:p>
    <w:p w14:paraId="07190DEF" w14:textId="77777777" w:rsidR="00A32FF2" w:rsidRDefault="00A32FF2">
      <w:pPr>
        <w:pBdr>
          <w:bottom w:val="single" w:sz="4" w:space="1" w:color="2E5496"/>
        </w:pBdr>
        <w:spacing w:before="80" w:after="240"/>
      </w:pPr>
    </w:p>
    <w:p w14:paraId="07190DF0" w14:textId="77777777" w:rsidR="00A32FF2" w:rsidRDefault="008C353C">
      <w:pPr>
        <w:pStyle w:val="Heading1"/>
      </w:pPr>
      <w:r>
        <w:t>Standards, Regulation, and the Quality Paradox</w:t>
      </w:r>
    </w:p>
    <w:p w14:paraId="07190DF1" w14:textId="2F24210D" w:rsidR="00A32FF2" w:rsidRDefault="008C353C">
      <w:pPr>
        <w:spacing w:after="160"/>
      </w:pPr>
      <w:r>
        <w:t>There is a</w:t>
      </w:r>
      <w:r w:rsidR="001C4246">
        <w:t xml:space="preserve">n </w:t>
      </w:r>
      <w:r>
        <w:t xml:space="preserve">unresolved tension in how clinical standards are applied to smaller rural and coastal hospitals. Standards developed in, and </w:t>
      </w:r>
      <w:r w:rsidR="00C52BD8">
        <w:t xml:space="preserve">often </w:t>
      </w:r>
      <w:r>
        <w:t>on the basis of evidence from, large urban teaching hospitals are applied through regulatory frameworks in ways that can designate as deficient services that are, in practice, delivering safe and effective care to the populations they serve.</w:t>
      </w:r>
    </w:p>
    <w:p w14:paraId="07190DF2" w14:textId="6B4FBE69" w:rsidR="00A32FF2" w:rsidRDefault="008C353C">
      <w:pPr>
        <w:spacing w:after="160"/>
      </w:pPr>
      <w:r>
        <w:t>The question of which standards should be treated as clinically non-negotiable, because they are directly and evidentially linked to patient outcomes, and which represent aspirational norms or reflect the organisational preferences of large centres has been posed in the relevant professional forums but not resolved.</w:t>
      </w:r>
      <w:r w:rsidR="00C52BD8">
        <w:t xml:space="preserve"> </w:t>
      </w:r>
      <w:r>
        <w:t xml:space="preserve"> The consequence is regulatory pressure that treats all standards as equivalent, which can accelerate the decline of viable services and inhibit innovation in service models.</w:t>
      </w:r>
    </w:p>
    <w:p w14:paraId="07190DF3" w14:textId="77777777" w:rsidR="00A32FF2" w:rsidRDefault="008C353C">
      <w:pPr>
        <w:spacing w:after="160"/>
      </w:pPr>
      <w:r>
        <w:t xml:space="preserve">This is not an argument for lower standards in rural settings. Size and rurality do not excuse poor quality care. The argument is that the appropriate service model for delivering a given standard of outcome may differ between a rural district general and a large urban trust, and that regulation should be sensitive to this distinction. There is a risk, if this is not addressed, that regulatory enforcement pushes smaller hospitals toward service changes that are clinically unnecessary, financially damaging, </w:t>
      </w:r>
      <w:r>
        <w:t>and harmful to the populations they serve, while conferring no outcome benefit.</w:t>
      </w:r>
    </w:p>
    <w:p w14:paraId="07190DF4" w14:textId="6AB57850" w:rsidR="00A32FF2" w:rsidRDefault="008C353C">
      <w:pPr>
        <w:spacing w:after="160"/>
      </w:pPr>
      <w:r>
        <w:t>A specific area of concern is the application of staffing standards derived from specialty-based rotas. The minimum staffing requirements for intensive care, for example, were developed in large ICUs and may not reflect what is achievable or necessary in a small unit operating in a network arrangement with retrieval support. Similarly, the requirement for separate specialist rotas in areas such as stroke and GI bleed</w:t>
      </w:r>
      <w:r>
        <w:t xml:space="preserve"> may reflect a large-hospital model that does not translate to a rural setting where alternatives such as network oversight, retrieval, and telemedicine can deliver equivalent clinical safety at substantially lower organisational cost.</w:t>
      </w:r>
    </w:p>
    <w:p w14:paraId="07190DF5" w14:textId="77777777" w:rsidR="00A32FF2" w:rsidRDefault="00A32FF2">
      <w:pPr>
        <w:pBdr>
          <w:bottom w:val="single" w:sz="4" w:space="1" w:color="2E5496"/>
        </w:pBdr>
        <w:spacing w:before="80" w:after="240"/>
      </w:pPr>
    </w:p>
    <w:p w14:paraId="07190DF6" w14:textId="77777777" w:rsidR="00A32FF2" w:rsidRDefault="008C353C">
      <w:pPr>
        <w:pStyle w:val="Heading1"/>
      </w:pPr>
      <w:r>
        <w:t>Financial Architecture</w:t>
      </w:r>
    </w:p>
    <w:p w14:paraId="07190DF7" w14:textId="77777777" w:rsidR="00A32FF2" w:rsidRDefault="008C353C">
      <w:pPr>
        <w:spacing w:after="160"/>
      </w:pPr>
      <w:r>
        <w:t>The financial sustainability of smaller rural and coastal hospitals is structurally compromised by a payment system designed for high-volume providers. Reference cost indices consistently above 100 for these hospitals do not, in the main, reflect operational inefficiency; they reflect the genuine fixed-cost premium of maintaining viable services at smaller scale, with half a catchment area facing the sea.</w:t>
      </w:r>
    </w:p>
    <w:p w14:paraId="07190DF8" w14:textId="108706A4" w:rsidR="00A32FF2" w:rsidRDefault="008C353C">
      <w:pPr>
        <w:spacing w:after="160"/>
      </w:pPr>
      <w:r>
        <w:t>At least one smaller rural hospital has quantified this structural cost premium at approximately £20 million per annum, a figure agreed with the</w:t>
      </w:r>
      <w:r w:rsidR="00AE33D1">
        <w:t>ir</w:t>
      </w:r>
      <w:r>
        <w:t xml:space="preserve"> ICB as unavoidable but as yet unresolved in terms of ongoing funding treatment. This is not an unusual situation. The ICB agreement that these costs exist but cannot be addressed within current arrangements captures the policy gap precisely: there is no mechanism within the current financial architecture to resolve it.</w:t>
      </w:r>
    </w:p>
    <w:p w14:paraId="07190DF9" w14:textId="77777777" w:rsidR="00A32FF2" w:rsidRDefault="008C353C">
      <w:pPr>
        <w:spacing w:after="160"/>
      </w:pPr>
      <w:r>
        <w:t>There are three specific areas where the financial model needs attention:</w:t>
      </w:r>
    </w:p>
    <w:p w14:paraId="07190DFA" w14:textId="4566183F" w:rsidR="00A32FF2" w:rsidRDefault="008C353C">
      <w:pPr>
        <w:pStyle w:val="ListParagraph"/>
        <w:numPr>
          <w:ilvl w:val="0"/>
          <w:numId w:val="2"/>
        </w:numPr>
        <w:spacing w:after="80"/>
      </w:pPr>
      <w:r>
        <w:t xml:space="preserve">Structural cost recognition: an explicit mechanism to compensate for the unavoidable fixed costs of small-scale rural and coastal provision, analogous to the rural hospital subsidies that operate in Australia, France, Germany, and other comparable health systems. The current Market Forces Factor </w:t>
      </w:r>
      <w:r w:rsidR="00184C8D">
        <w:t xml:space="preserve">and other adjustments </w:t>
      </w:r>
      <w:r>
        <w:t>do</w:t>
      </w:r>
      <w:r>
        <w:t xml:space="preserve"> not fulfil this function.</w:t>
      </w:r>
    </w:p>
    <w:p w14:paraId="07190DFB" w14:textId="2CC7E17D" w:rsidR="00A32FF2" w:rsidRDefault="008C353C">
      <w:pPr>
        <w:pStyle w:val="ListParagraph"/>
        <w:numPr>
          <w:ilvl w:val="0"/>
          <w:numId w:val="2"/>
        </w:numPr>
        <w:spacing w:after="80"/>
      </w:pPr>
      <w:r>
        <w:t xml:space="preserve">Community and hospital-at-home tariffs: the higher cost of hospital-substitution models in rural settings, driven by patient travel times and risk thresholds, needs to be reflected in payment rates if these models are to be viable alternatives to inpatient admission. </w:t>
      </w:r>
      <w:r w:rsidR="00F46083">
        <w:t xml:space="preserve">This has implications for the resource allocation formula which in Wales reflects rurality but in England does not. </w:t>
      </w:r>
    </w:p>
    <w:p w14:paraId="07190DFC" w14:textId="77777777" w:rsidR="00A32FF2" w:rsidRDefault="008C353C">
      <w:pPr>
        <w:pStyle w:val="ListParagraph"/>
        <w:numPr>
          <w:ilvl w:val="0"/>
          <w:numId w:val="2"/>
        </w:numPr>
        <w:spacing w:after="80"/>
      </w:pPr>
      <w:r>
        <w:t>Investment in network and transfer infrastructure: the cost of maintaining safe transfer arrangements, including in some cases the provision of dedicated transport, is carried by individual trusts and is not explicitly funded. Where ambulance service response to transfer requests is unreliable, hospitals face a choice between unsafe transfers and investment in their own capacity.</w:t>
      </w:r>
    </w:p>
    <w:p w14:paraId="07190DFD" w14:textId="77777777" w:rsidR="00A32FF2" w:rsidRDefault="00A32FF2">
      <w:pPr>
        <w:pBdr>
          <w:bottom w:val="single" w:sz="4" w:space="1" w:color="2E5496"/>
        </w:pBdr>
        <w:spacing w:before="80" w:after="240"/>
      </w:pPr>
    </w:p>
    <w:p w14:paraId="07190DFE" w14:textId="77777777" w:rsidR="00A32FF2" w:rsidRDefault="008C353C">
      <w:pPr>
        <w:pStyle w:val="Heading1"/>
      </w:pPr>
      <w:r>
        <w:t>What Is Working: Emerging Models</w:t>
      </w:r>
    </w:p>
    <w:p w14:paraId="07190DFF" w14:textId="77777777" w:rsidR="00A32FF2" w:rsidRDefault="008C353C">
      <w:pPr>
        <w:spacing w:after="160"/>
      </w:pPr>
      <w:r>
        <w:t>Despite the pressures described above, there is significant innovation occurring in rural and coastal hospitals. The problem is not a lack of good practice; it is the absence of systematic documentation, evaluation, and dissemination of that practice, and the failure to use it as the basis for national policy. The following models have been demonstrated to work in practice and merit wider attention:</w:t>
      </w:r>
    </w:p>
    <w:p w14:paraId="07190E00" w14:textId="77777777" w:rsidR="00A32FF2" w:rsidRDefault="008C353C">
      <w:pPr>
        <w:pStyle w:val="Heading2"/>
      </w:pPr>
      <w:r>
        <w:t>Multi-site team models</w:t>
      </w:r>
    </w:p>
    <w:p w14:paraId="07190E01" w14:textId="77777777" w:rsidR="00A32FF2" w:rsidRDefault="008C353C">
      <w:pPr>
        <w:spacing w:after="160"/>
      </w:pPr>
      <w:r>
        <w:t>The creation of county-wide or regional clinical teams, employed as a single team working across two or more sites rather than as site-specific consultants, has proven effective in critical care and paediatrics. In at least one case, this model enabled the recruitment of five additional paediatricians and the reopening of a maternity service that had been closed for eleven months. The model makes posts more professionally attractive by reducing isolation and distributing on-call intensity.</w:t>
      </w:r>
    </w:p>
    <w:p w14:paraId="07190E02" w14:textId="77777777" w:rsidR="00A32FF2" w:rsidRDefault="008C353C">
      <w:pPr>
        <w:pStyle w:val="Heading2"/>
      </w:pPr>
      <w:r>
        <w:t>Partnership-based service sustainability</w:t>
      </w:r>
    </w:p>
    <w:p w14:paraId="07190E03" w14:textId="77777777" w:rsidR="00A32FF2" w:rsidRDefault="008C353C">
      <w:pPr>
        <w:spacing w:after="160"/>
      </w:pPr>
      <w:r>
        <w:t>Smaller hospitals with a strong external orientation, building active partnerships with primary care, tertiary centres, ambulance services, community providers, and local authorities, have demonstrated greater service sustainability than those that operate as standalone institutions. The range of partnerships that can contribute to sustainable emergency care includes: pre-hospital video triage with ambulance services; shared thrombolysis rotas with larger neighbouring hospitals; contractual retainer arrange</w:t>
      </w:r>
      <w:r>
        <w:t>ments for specialist services (such as interventional radiology) that are too infrequent to justify a full rota; and early supported discharge and community rehabilitation models that are linked to the acute pathway rather than operating separately from it.</w:t>
      </w:r>
    </w:p>
    <w:p w14:paraId="07190E04" w14:textId="77777777" w:rsidR="00A32FF2" w:rsidRDefault="008C353C">
      <w:pPr>
        <w:pStyle w:val="Heading2"/>
      </w:pPr>
      <w:r>
        <w:t>Innovative workforce roles</w:t>
      </w:r>
    </w:p>
    <w:p w14:paraId="07190E05" w14:textId="77777777" w:rsidR="00A32FF2" w:rsidRDefault="008C353C">
      <w:pPr>
        <w:spacing w:after="160"/>
      </w:pPr>
      <w:r>
        <w:t>There are examples of stroke services led by consultant nurses, rehabilitation units led by consultant therapists, and ICUs supported by a combination of SAS doctors, advanced critical care practitioners, and anaesthetic cover. These models can deliver outcomes comparable to, and in some cases better than, consultant-led equivalents, and they use the available workforce more flexibly. They also create career development opportunities that are themselves a recruitment tool.</w:t>
      </w:r>
    </w:p>
    <w:p w14:paraId="07190E06" w14:textId="77777777" w:rsidR="00A32FF2" w:rsidRDefault="008C353C">
      <w:pPr>
        <w:pStyle w:val="Heading2"/>
      </w:pPr>
      <w:r>
        <w:t>Mobile critical care and retrieval networks</w:t>
      </w:r>
    </w:p>
    <w:p w14:paraId="07190E07" w14:textId="77777777" w:rsidR="00A32FF2" w:rsidRDefault="008C353C">
      <w:pPr>
        <w:spacing w:after="160"/>
      </w:pPr>
      <w:r>
        <w:t>Mobile critical care retrieval services covering a whole health system, transferring patients between secondary and tertiary centres with consultant oversight and appropriately trained crews, have proven effective at managing the clinical risk of small ICUs in isolated settings. The Welsh ACT and EMERGE service, covering the whole of Wales from two bases, is an example of what system-level investment in this infrastructure can achieve.</w:t>
      </w:r>
    </w:p>
    <w:p w14:paraId="07190E08" w14:textId="77777777" w:rsidR="00A32FF2" w:rsidRDefault="008C353C">
      <w:pPr>
        <w:pStyle w:val="Heading2"/>
      </w:pPr>
      <w:r>
        <w:t>Technology and telemedicine</w:t>
      </w:r>
    </w:p>
    <w:p w14:paraId="07190E09" w14:textId="77777777" w:rsidR="00A32FF2" w:rsidRDefault="008C353C">
      <w:pPr>
        <w:spacing w:after="160"/>
      </w:pPr>
      <w:r>
        <w:t>Remote radiology reporting, telemedicine support for specialist decisions, and electronic referral pathways to tertiary centres that do not require a clinician-to-clinician call have all reduced the workload associated with specialist support in isolated settings. The potential of EICU models (remote consultant oversight of intensive care beds) is not yet fully developed in the UK but international experience, particularly from the United States and Australia, is instructive.</w:t>
      </w:r>
    </w:p>
    <w:p w14:paraId="07190E0A" w14:textId="77777777" w:rsidR="00A32FF2" w:rsidRDefault="00A32FF2">
      <w:pPr>
        <w:pBdr>
          <w:bottom w:val="single" w:sz="4" w:space="1" w:color="2E5496"/>
        </w:pBdr>
        <w:spacing w:before="80" w:after="240"/>
      </w:pPr>
    </w:p>
    <w:p w14:paraId="07190E0B" w14:textId="77777777" w:rsidR="00A32FF2" w:rsidRDefault="008C353C">
      <w:pPr>
        <w:pStyle w:val="Heading1"/>
      </w:pPr>
      <w:r>
        <w:t>Policy Priorities</w:t>
      </w:r>
    </w:p>
    <w:p w14:paraId="07190E0C" w14:textId="77777777" w:rsidR="00A32FF2" w:rsidRDefault="008C353C">
      <w:pPr>
        <w:spacing w:after="160"/>
      </w:pPr>
      <w:r>
        <w:t>The following priorities for national policy action were identified. They are presented not as a comprehensive programme but as the areas where national intervention would most directly unlock the problems that local organisations cannot resolve alone.</w:t>
      </w:r>
    </w:p>
    <w:p w14:paraId="07190E0D" w14:textId="77777777" w:rsidR="00A32FF2" w:rsidRDefault="008C353C">
      <w:pPr>
        <w:pStyle w:val="Heading2"/>
      </w:pPr>
      <w:r>
        <w:t>Workforce planning</w:t>
      </w:r>
    </w:p>
    <w:p w14:paraId="07190E0E" w14:textId="77777777" w:rsidR="00A32FF2" w:rsidRDefault="008C353C">
      <w:pPr>
        <w:pStyle w:val="ListParagraph"/>
        <w:numPr>
          <w:ilvl w:val="0"/>
          <w:numId w:val="2"/>
        </w:numPr>
        <w:spacing w:after="80"/>
      </w:pPr>
      <w:r>
        <w:t>Review the generalist content of medical training programmes and develop a credentialing framework that enables clinicians to acquire and maintain the broader clinical scope needed for rural and coastal hospital practice.</w:t>
      </w:r>
    </w:p>
    <w:p w14:paraId="07190E0F" w14:textId="77777777" w:rsidR="00A32FF2" w:rsidRDefault="008C353C">
      <w:pPr>
        <w:pStyle w:val="ListParagraph"/>
        <w:numPr>
          <w:ilvl w:val="0"/>
          <w:numId w:val="2"/>
        </w:numPr>
        <w:spacing w:after="80"/>
      </w:pPr>
      <w:r>
        <w:t>Explicitly address the role of SAS doctors in the workforce models for smaller hospitals, including recognition of portfolio career paths that span departmental boundaries.</w:t>
      </w:r>
    </w:p>
    <w:p w14:paraId="07190E10" w14:textId="58A96053" w:rsidR="00A32FF2" w:rsidRDefault="008C353C">
      <w:pPr>
        <w:pStyle w:val="ListParagraph"/>
        <w:numPr>
          <w:ilvl w:val="0"/>
          <w:numId w:val="2"/>
        </w:numPr>
        <w:spacing w:after="80"/>
      </w:pPr>
      <w:r>
        <w:t xml:space="preserve">Develop national support for </w:t>
      </w:r>
      <w:r w:rsidR="002B4A8A">
        <w:t>pathways to CCT</w:t>
      </w:r>
      <w:r>
        <w:t xml:space="preserve"> and equivalent programmes as a deliberate pipeline for rural and coastal hospital consultant posts, learning from examples where this has demonstrably worked.</w:t>
      </w:r>
    </w:p>
    <w:p w14:paraId="07190E11" w14:textId="77777777" w:rsidR="00A32FF2" w:rsidRDefault="008C353C">
      <w:pPr>
        <w:pStyle w:val="ListParagraph"/>
        <w:numPr>
          <w:ilvl w:val="0"/>
          <w:numId w:val="2"/>
        </w:numPr>
        <w:spacing w:after="80"/>
      </w:pPr>
      <w:r>
        <w:t>Commission research into the community-based medical school model and its applicability to England, drawing on international evidence, with a view to expanding the pipeline of clinicians with rural practice orientation.</w:t>
      </w:r>
    </w:p>
    <w:p w14:paraId="07190E12" w14:textId="77777777" w:rsidR="00A32FF2" w:rsidRDefault="008C353C">
      <w:pPr>
        <w:pStyle w:val="Heading2"/>
      </w:pPr>
      <w:r>
        <w:t>Standards and regulation</w:t>
      </w:r>
    </w:p>
    <w:p w14:paraId="07190E13" w14:textId="1C45BD6C" w:rsidR="00A32FF2" w:rsidRDefault="008C353C">
      <w:pPr>
        <w:pStyle w:val="ListParagraph"/>
        <w:numPr>
          <w:ilvl w:val="0"/>
          <w:numId w:val="2"/>
        </w:numPr>
        <w:spacing w:after="80"/>
      </w:pPr>
      <w:r>
        <w:t xml:space="preserve">The Academy of Medical Royal Colleges and relevant professional bodies </w:t>
      </w:r>
      <w:r w:rsidR="002B4A8A">
        <w:t xml:space="preserve">could </w:t>
      </w:r>
      <w:r>
        <w:t>set</w:t>
      </w:r>
      <w:r>
        <w:t xml:space="preserve"> out how standards should be interpreted and applied in rural and coastal settings with alternative service models.</w:t>
      </w:r>
    </w:p>
    <w:p w14:paraId="07190E14" w14:textId="77777777" w:rsidR="00A32FF2" w:rsidRDefault="008C353C">
      <w:pPr>
        <w:pStyle w:val="ListParagraph"/>
        <w:numPr>
          <w:ilvl w:val="0"/>
          <w:numId w:val="2"/>
        </w:numPr>
        <w:spacing w:after="80"/>
      </w:pPr>
      <w:r>
        <w:t>CQC regulatory methodology should be reviewed to ensure that it can accommodate validated alternative service models, including network arrangements, retrieval services, and extended workforce roles, without treating departure from large-hospital norms as a marker of deficiency.</w:t>
      </w:r>
    </w:p>
    <w:p w14:paraId="07190E15" w14:textId="77777777" w:rsidR="00A32FF2" w:rsidRDefault="008C353C">
      <w:pPr>
        <w:pStyle w:val="Heading2"/>
      </w:pPr>
      <w:r>
        <w:t>Financial architecture</w:t>
      </w:r>
    </w:p>
    <w:p w14:paraId="416C055D" w14:textId="77777777" w:rsidR="00110EDD" w:rsidRDefault="008C353C" w:rsidP="00110EDD">
      <w:pPr>
        <w:pStyle w:val="ListParagraph"/>
        <w:numPr>
          <w:ilvl w:val="0"/>
          <w:numId w:val="2"/>
        </w:numPr>
        <w:spacing w:after="80"/>
      </w:pPr>
      <w:r>
        <w:t xml:space="preserve">An explicit mechanism to recognise the structural cost premium of rural and coastal hospital provision should be developed, drawing on the models used in comparator countries. </w:t>
      </w:r>
    </w:p>
    <w:p w14:paraId="6C17B635" w14:textId="43A8F4D5" w:rsidR="00110EDD" w:rsidRDefault="00110EDD" w:rsidP="00110EDD">
      <w:pPr>
        <w:pStyle w:val="ListParagraph"/>
        <w:numPr>
          <w:ilvl w:val="0"/>
          <w:numId w:val="2"/>
        </w:numPr>
        <w:spacing w:after="80"/>
      </w:pPr>
      <w:r>
        <w:t xml:space="preserve">The resource allocation formula should more explicitly address the issues in rural and coastal areas </w:t>
      </w:r>
    </w:p>
    <w:p w14:paraId="07190E17" w14:textId="47E30A87" w:rsidR="00A32FF2" w:rsidRDefault="008C353C" w:rsidP="00110EDD">
      <w:pPr>
        <w:pStyle w:val="ListParagraph"/>
        <w:numPr>
          <w:ilvl w:val="0"/>
          <w:numId w:val="2"/>
        </w:numPr>
        <w:spacing w:after="80"/>
      </w:pPr>
      <w:r>
        <w:t>Payment rates for hospital-at-home, virtual ward, and community care models should reflect the genuine cost of delivery in rural areas, where patient travel time and risk thresholds make these models structurally more expensive.</w:t>
      </w:r>
    </w:p>
    <w:p w14:paraId="07190E18" w14:textId="77777777" w:rsidR="00A32FF2" w:rsidRDefault="008C353C">
      <w:pPr>
        <w:pStyle w:val="Heading2"/>
      </w:pPr>
      <w:r>
        <w:t>Research and knowledge management</w:t>
      </w:r>
    </w:p>
    <w:p w14:paraId="07190E19" w14:textId="77777777" w:rsidR="00A32FF2" w:rsidRDefault="008C353C">
      <w:pPr>
        <w:pStyle w:val="ListParagraph"/>
        <w:numPr>
          <w:ilvl w:val="0"/>
          <w:numId w:val="2"/>
        </w:numPr>
        <w:spacing w:after="80"/>
      </w:pPr>
      <w:r>
        <w:t>The NIHR should be asked to prioritise service delivery and organisation research in rural and coastal health settings. The ELEVATE study (models of emergency care in rural and coastal environments) should be supported and its findings disseminated proactively.</w:t>
      </w:r>
    </w:p>
    <w:p w14:paraId="07190E1A" w14:textId="77777777" w:rsidR="00A32FF2" w:rsidRDefault="008C353C">
      <w:pPr>
        <w:pStyle w:val="ListParagraph"/>
        <w:numPr>
          <w:ilvl w:val="0"/>
          <w:numId w:val="2"/>
        </w:numPr>
        <w:spacing w:after="80"/>
      </w:pPr>
      <w:r>
        <w:t>A systematic programme to document, evaluate, and disseminate the service innovations already occurring in smaller rural and coastal hospitals should be established. These hospitals are generating solutions that the wider NHS will need; the knowledge is not being captured.</w:t>
      </w:r>
    </w:p>
    <w:p w14:paraId="07190E1B" w14:textId="77777777" w:rsidR="00A32FF2" w:rsidRDefault="008C353C">
      <w:pPr>
        <w:pStyle w:val="Heading2"/>
      </w:pPr>
      <w:r>
        <w:t>National policy engagement</w:t>
      </w:r>
    </w:p>
    <w:p w14:paraId="07190E1C" w14:textId="422BF2B8" w:rsidR="00A32FF2" w:rsidRDefault="008C353C">
      <w:pPr>
        <w:pStyle w:val="ListParagraph"/>
        <w:numPr>
          <w:ilvl w:val="0"/>
          <w:numId w:val="2"/>
        </w:numPr>
        <w:spacing w:after="80"/>
      </w:pPr>
      <w:r>
        <w:t xml:space="preserve">The Chief Medical Officer's 2026 annual report, which will focus on rurality, provides a significant opportunity to establish these issues on the national agenda. </w:t>
      </w:r>
      <w:r w:rsidR="00183FF6">
        <w:t xml:space="preserve"> </w:t>
      </w:r>
    </w:p>
    <w:p w14:paraId="07190E1D" w14:textId="77777777" w:rsidR="00A32FF2" w:rsidRDefault="008C353C">
      <w:pPr>
        <w:pStyle w:val="ListParagraph"/>
        <w:numPr>
          <w:ilvl w:val="0"/>
          <w:numId w:val="2"/>
        </w:numPr>
        <w:spacing w:after="80"/>
      </w:pPr>
      <w:r>
        <w:t xml:space="preserve">The </w:t>
      </w:r>
      <w:proofErr w:type="gramStart"/>
      <w:r>
        <w:t>Ten Year</w:t>
      </w:r>
      <w:proofErr w:type="gramEnd"/>
      <w:r>
        <w:t xml:space="preserve"> Plan work streams on workforce, neighbourhood health, financial architecture, digital, and infrastructure should each be asked to address the specific implications for rural and coastal settings. There is currently no systematic rural and coastal lens across these work streams.</w:t>
      </w:r>
    </w:p>
    <w:p w14:paraId="07190E1E" w14:textId="77777777" w:rsidR="00A32FF2" w:rsidRDefault="008C353C">
      <w:pPr>
        <w:pStyle w:val="ListParagraph"/>
        <w:numPr>
          <w:ilvl w:val="0"/>
          <w:numId w:val="2"/>
        </w:numPr>
        <w:spacing w:after="80"/>
      </w:pPr>
      <w:r>
        <w:t>Consideration should be given to whether the NHS Confederation should establish a dedicated rural and coastal network, given the absence of a single representative voice for this community of interest.</w:t>
      </w:r>
    </w:p>
    <w:p w14:paraId="07190E1F" w14:textId="77777777" w:rsidR="00A32FF2" w:rsidRDefault="00A32FF2">
      <w:pPr>
        <w:pBdr>
          <w:bottom w:val="single" w:sz="4" w:space="1" w:color="2E5496"/>
        </w:pBdr>
        <w:spacing w:before="80" w:after="240"/>
      </w:pPr>
    </w:p>
    <w:p w14:paraId="07190E20" w14:textId="77777777" w:rsidR="00A32FF2" w:rsidRDefault="008C353C">
      <w:pPr>
        <w:pStyle w:val="Heading1"/>
      </w:pPr>
      <w:r>
        <w:t>Conclusion</w:t>
      </w:r>
    </w:p>
    <w:p w14:paraId="07190E21" w14:textId="77777777" w:rsidR="00A32FF2" w:rsidRDefault="008C353C">
      <w:pPr>
        <w:spacing w:after="160"/>
      </w:pPr>
      <w:r>
        <w:t xml:space="preserve">The sustainability of emergency care in rural and coastal hospitals is not a niche problem. It affects the majority of hospital episodes delivered in England, and the populations most dependent on these services are among the most vulnerable. The challenges are structural, rooted in the economics of small-scale provision, in a workforce system not designed for </w:t>
      </w:r>
      <w:proofErr w:type="spellStart"/>
      <w:r>
        <w:t>generalism</w:t>
      </w:r>
      <w:proofErr w:type="spellEnd"/>
      <w:r>
        <w:t>, and in a regulatory and financial architecture built for large urban hospitals, and they are not resolvable by local effort alone.</w:t>
      </w:r>
    </w:p>
    <w:p w14:paraId="07190E22" w14:textId="77777777" w:rsidR="00A32FF2" w:rsidRDefault="008C353C">
      <w:pPr>
        <w:spacing w:after="160"/>
      </w:pPr>
      <w:r>
        <w:t>The good news is that there is no shortage of workable solutions. Multi-site team models, innovative workforce roles, partnership-based service development, retrieval networks, and new uses of technology are all demonstrably effective. What is missing is the national policy framework that would enable these solutions to scale, and the systematic documentation of what is working that would make the case for that framework.</w:t>
      </w:r>
    </w:p>
    <w:p w14:paraId="07190E23" w14:textId="77777777" w:rsidR="00A32FF2" w:rsidRDefault="008C353C">
      <w:pPr>
        <w:spacing w:after="160"/>
      </w:pPr>
      <w:r>
        <w:t xml:space="preserve">Smaller rural and coastal hospitals have an important additional characteristic that tends to be overlooked: their scale and organisational agility </w:t>
      </w:r>
      <w:proofErr w:type="gramStart"/>
      <w:r>
        <w:t>makes</w:t>
      </w:r>
      <w:proofErr w:type="gramEnd"/>
      <w:r>
        <w:t xml:space="preserve"> them well suited to be test beds for service innovations that the wider NHS will eventually need. The generalist-specialist conundrum, the unsustainability of sub-specialty rota proliferation, the need for new workforce roles and new models of specialist support: these are not only rural problems. They are the problems of the NHS at scale, most visible at the margins. Solving them there is both an urgent necessity and an opportunity.</w:t>
      </w:r>
    </w:p>
    <w:p w14:paraId="07190E24" w14:textId="77777777" w:rsidR="00A32FF2" w:rsidRDefault="00A32FF2">
      <w:pPr>
        <w:pBdr>
          <w:bottom w:val="single" w:sz="4" w:space="1" w:color="2E5496"/>
        </w:pBdr>
        <w:spacing w:before="80" w:after="240"/>
      </w:pPr>
    </w:p>
    <w:p w14:paraId="07190E25" w14:textId="77777777" w:rsidR="00A32FF2" w:rsidRDefault="008C353C">
      <w:pPr>
        <w:spacing w:before="120"/>
        <w:jc w:val="right"/>
      </w:pPr>
      <w:r>
        <w:rPr>
          <w:i/>
          <w:iCs/>
          <w:color w:val="595959"/>
          <w:sz w:val="19"/>
          <w:szCs w:val="19"/>
        </w:rPr>
        <w:t xml:space="preserve">National Centre for Rural Health and </w:t>
      </w:r>
      <w:proofErr w:type="gramStart"/>
      <w:r>
        <w:rPr>
          <w:i/>
          <w:iCs/>
          <w:color w:val="595959"/>
          <w:sz w:val="19"/>
          <w:szCs w:val="19"/>
        </w:rPr>
        <w:t>Care  |</w:t>
      </w:r>
      <w:proofErr w:type="gramEnd"/>
      <w:r>
        <w:rPr>
          <w:i/>
          <w:iCs/>
          <w:color w:val="595959"/>
          <w:sz w:val="19"/>
          <w:szCs w:val="19"/>
        </w:rPr>
        <w:t xml:space="preserve">  April 2026</w:t>
      </w:r>
    </w:p>
    <w:sectPr w:rsidR="00A32FF2">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52BC"/>
    <w:multiLevelType w:val="hybridMultilevel"/>
    <w:tmpl w:val="79263A1A"/>
    <w:lvl w:ilvl="0" w:tplc="692AFC8C">
      <w:start w:val="1"/>
      <w:numFmt w:val="bullet"/>
      <w:lvlText w:val="–"/>
      <w:lvlJc w:val="left"/>
      <w:pPr>
        <w:ind w:left="540" w:hanging="300"/>
      </w:pPr>
      <w:rPr>
        <w:rFonts w:ascii="Arial" w:eastAsia="Arial" w:hAnsi="Arial" w:cs="Arial"/>
        <w:sz w:val="22"/>
        <w:szCs w:val="22"/>
      </w:rPr>
    </w:lvl>
    <w:lvl w:ilvl="1" w:tplc="2E6678B6">
      <w:numFmt w:val="decimal"/>
      <w:lvlText w:val=""/>
      <w:lvlJc w:val="left"/>
    </w:lvl>
    <w:lvl w:ilvl="2" w:tplc="755A59DE">
      <w:numFmt w:val="decimal"/>
      <w:lvlText w:val=""/>
      <w:lvlJc w:val="left"/>
    </w:lvl>
    <w:lvl w:ilvl="3" w:tplc="0F8CE930">
      <w:numFmt w:val="decimal"/>
      <w:lvlText w:val=""/>
      <w:lvlJc w:val="left"/>
    </w:lvl>
    <w:lvl w:ilvl="4" w:tplc="8F2AB7DA">
      <w:numFmt w:val="decimal"/>
      <w:lvlText w:val=""/>
      <w:lvlJc w:val="left"/>
    </w:lvl>
    <w:lvl w:ilvl="5" w:tplc="C2281DB6">
      <w:numFmt w:val="decimal"/>
      <w:lvlText w:val=""/>
      <w:lvlJc w:val="left"/>
    </w:lvl>
    <w:lvl w:ilvl="6" w:tplc="157EF5E2">
      <w:numFmt w:val="decimal"/>
      <w:lvlText w:val=""/>
      <w:lvlJc w:val="left"/>
    </w:lvl>
    <w:lvl w:ilvl="7" w:tplc="7E146B14">
      <w:numFmt w:val="decimal"/>
      <w:lvlText w:val=""/>
      <w:lvlJc w:val="left"/>
    </w:lvl>
    <w:lvl w:ilvl="8" w:tplc="37F07944">
      <w:numFmt w:val="decimal"/>
      <w:lvlText w:val=""/>
      <w:lvlJc w:val="left"/>
    </w:lvl>
  </w:abstractNum>
  <w:abstractNum w:abstractNumId="1" w15:restartNumberingAfterBreak="0">
    <w:nsid w:val="672F4EA3"/>
    <w:multiLevelType w:val="hybridMultilevel"/>
    <w:tmpl w:val="FBA6A10E"/>
    <w:lvl w:ilvl="0" w:tplc="215666A2">
      <w:start w:val="1"/>
      <w:numFmt w:val="bullet"/>
      <w:lvlText w:val="●"/>
      <w:lvlJc w:val="left"/>
      <w:pPr>
        <w:ind w:left="720" w:hanging="360"/>
      </w:pPr>
    </w:lvl>
    <w:lvl w:ilvl="1" w:tplc="BF66558C">
      <w:start w:val="1"/>
      <w:numFmt w:val="bullet"/>
      <w:lvlText w:val="○"/>
      <w:lvlJc w:val="left"/>
      <w:pPr>
        <w:ind w:left="1440" w:hanging="360"/>
      </w:pPr>
    </w:lvl>
    <w:lvl w:ilvl="2" w:tplc="44A24F6A">
      <w:start w:val="1"/>
      <w:numFmt w:val="bullet"/>
      <w:lvlText w:val="■"/>
      <w:lvlJc w:val="left"/>
      <w:pPr>
        <w:ind w:left="2160" w:hanging="360"/>
      </w:pPr>
    </w:lvl>
    <w:lvl w:ilvl="3" w:tplc="21AE77DC">
      <w:start w:val="1"/>
      <w:numFmt w:val="bullet"/>
      <w:lvlText w:val="●"/>
      <w:lvlJc w:val="left"/>
      <w:pPr>
        <w:ind w:left="2880" w:hanging="360"/>
      </w:pPr>
    </w:lvl>
    <w:lvl w:ilvl="4" w:tplc="B28060E2">
      <w:start w:val="1"/>
      <w:numFmt w:val="bullet"/>
      <w:lvlText w:val="○"/>
      <w:lvlJc w:val="left"/>
      <w:pPr>
        <w:ind w:left="3600" w:hanging="360"/>
      </w:pPr>
    </w:lvl>
    <w:lvl w:ilvl="5" w:tplc="5616DB30">
      <w:start w:val="1"/>
      <w:numFmt w:val="bullet"/>
      <w:lvlText w:val="■"/>
      <w:lvlJc w:val="left"/>
      <w:pPr>
        <w:ind w:left="4320" w:hanging="360"/>
      </w:pPr>
    </w:lvl>
    <w:lvl w:ilvl="6" w:tplc="570CC8CE">
      <w:start w:val="1"/>
      <w:numFmt w:val="bullet"/>
      <w:lvlText w:val="●"/>
      <w:lvlJc w:val="left"/>
      <w:pPr>
        <w:ind w:left="5040" w:hanging="360"/>
      </w:pPr>
    </w:lvl>
    <w:lvl w:ilvl="7" w:tplc="29B6A1F4">
      <w:start w:val="1"/>
      <w:numFmt w:val="bullet"/>
      <w:lvlText w:val="●"/>
      <w:lvlJc w:val="left"/>
      <w:pPr>
        <w:ind w:left="5760" w:hanging="360"/>
      </w:pPr>
    </w:lvl>
    <w:lvl w:ilvl="8" w:tplc="A38A706E">
      <w:start w:val="1"/>
      <w:numFmt w:val="bullet"/>
      <w:lvlText w:val="●"/>
      <w:lvlJc w:val="left"/>
      <w:pPr>
        <w:ind w:left="6480" w:hanging="360"/>
      </w:pPr>
    </w:lvl>
  </w:abstractNum>
  <w:num w:numId="1" w16cid:durableId="1950240147">
    <w:abstractNumId w:val="1"/>
    <w:lvlOverride w:ilvl="0">
      <w:startOverride w:val="1"/>
    </w:lvlOverride>
  </w:num>
  <w:num w:numId="2" w16cid:durableId="5354602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FF2"/>
    <w:rsid w:val="00083D2B"/>
    <w:rsid w:val="00110EDD"/>
    <w:rsid w:val="001400CC"/>
    <w:rsid w:val="00155C32"/>
    <w:rsid w:val="00157582"/>
    <w:rsid w:val="00183FF6"/>
    <w:rsid w:val="00184C8D"/>
    <w:rsid w:val="001B18BA"/>
    <w:rsid w:val="001C4246"/>
    <w:rsid w:val="002146C6"/>
    <w:rsid w:val="00222ECE"/>
    <w:rsid w:val="00256295"/>
    <w:rsid w:val="002B40C7"/>
    <w:rsid w:val="002B4A8A"/>
    <w:rsid w:val="002E2538"/>
    <w:rsid w:val="003001DB"/>
    <w:rsid w:val="0033718D"/>
    <w:rsid w:val="00450894"/>
    <w:rsid w:val="00451DD3"/>
    <w:rsid w:val="004829A7"/>
    <w:rsid w:val="004A2237"/>
    <w:rsid w:val="004B7473"/>
    <w:rsid w:val="00525C93"/>
    <w:rsid w:val="005559CE"/>
    <w:rsid w:val="00594460"/>
    <w:rsid w:val="005E4082"/>
    <w:rsid w:val="006364E1"/>
    <w:rsid w:val="00656D4F"/>
    <w:rsid w:val="006A0213"/>
    <w:rsid w:val="006C6511"/>
    <w:rsid w:val="006D578A"/>
    <w:rsid w:val="007A608F"/>
    <w:rsid w:val="00826781"/>
    <w:rsid w:val="008715CD"/>
    <w:rsid w:val="00890297"/>
    <w:rsid w:val="008C353C"/>
    <w:rsid w:val="009149E8"/>
    <w:rsid w:val="00935F01"/>
    <w:rsid w:val="009C2553"/>
    <w:rsid w:val="009C79F3"/>
    <w:rsid w:val="009E4ACF"/>
    <w:rsid w:val="00A32FF2"/>
    <w:rsid w:val="00AE33D1"/>
    <w:rsid w:val="00B13496"/>
    <w:rsid w:val="00B37C80"/>
    <w:rsid w:val="00B40D64"/>
    <w:rsid w:val="00B61393"/>
    <w:rsid w:val="00BD5DC1"/>
    <w:rsid w:val="00C52BD8"/>
    <w:rsid w:val="00C86EE0"/>
    <w:rsid w:val="00CD1B84"/>
    <w:rsid w:val="00CE601E"/>
    <w:rsid w:val="00D619E7"/>
    <w:rsid w:val="00D835A3"/>
    <w:rsid w:val="00DC35AF"/>
    <w:rsid w:val="00EC14E6"/>
    <w:rsid w:val="00F32EAA"/>
    <w:rsid w:val="00F46083"/>
    <w:rsid w:val="00FB707E"/>
    <w:rsid w:val="00FB7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90DBC"/>
  <w15:docId w15:val="{5707092A-9761-A842-BBAB-1934A5A72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20"/>
      <w:outlineLvl w:val="0"/>
    </w:pPr>
    <w:rPr>
      <w:b/>
      <w:bCs/>
      <w:color w:val="1F3864"/>
      <w:sz w:val="26"/>
      <w:szCs w:val="26"/>
    </w:rPr>
  </w:style>
  <w:style w:type="paragraph" w:styleId="Heading2">
    <w:name w:val="heading 2"/>
    <w:uiPriority w:val="9"/>
    <w:unhideWhenUsed/>
    <w:qFormat/>
    <w:pPr>
      <w:spacing w:before="240" w:after="80"/>
      <w:outlineLvl w:val="1"/>
    </w:pPr>
    <w:rPr>
      <w:b/>
      <w:bCs/>
      <w:color w:val="2E549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3760</Words>
  <Characters>21438</Characters>
  <Application>Microsoft Office Word</Application>
  <DocSecurity>0</DocSecurity>
  <Lines>178</Lines>
  <Paragraphs>50</Paragraphs>
  <ScaleCrop>false</ScaleCrop>
  <Company/>
  <LinksUpToDate>false</LinksUpToDate>
  <CharactersWithSpaces>25148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Nigel Edwards</cp:lastModifiedBy>
  <cp:revision>54</cp:revision>
  <cp:lastPrinted>2026-05-04T14:24:00Z</cp:lastPrinted>
  <dcterms:created xsi:type="dcterms:W3CDTF">2026-04-24T08:17:00Z</dcterms:created>
  <dcterms:modified xsi:type="dcterms:W3CDTF">2026-05-04T14:24:00Z</dcterms:modified>
</cp:coreProperties>
</file>